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 w:firstRow="1" w:lastRow="0" w:firstColumn="1" w:lastColumn="0" w:noHBand="0" w:noVBand="1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3D5F6C" w:rsidP="00130CE7">
            <w:pPr>
              <w:ind w:firstLine="27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234950</wp:posOffset>
                      </wp:positionV>
                      <wp:extent cx="3013075" cy="870585"/>
                      <wp:effectExtent l="0" t="3175" r="0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3075" cy="870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C8" w:rsidRPr="00130CE7" w:rsidRDefault="001D77C8" w:rsidP="00130CE7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30CE7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State of Nevada</w:t>
                                  </w:r>
                                </w:p>
                                <w:p w:rsidR="001D77C8" w:rsidRDefault="001D77C8" w:rsidP="00702D68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30CE7"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Department of Health and Human Services</w:t>
                                  </w:r>
                                </w:p>
                                <w:p w:rsidR="001D77C8" w:rsidRPr="005156E4" w:rsidRDefault="001D77C8" w:rsidP="005156E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Division of Health Care Financing and Policy</w:t>
                                  </w:r>
                                </w:p>
                                <w:p w:rsidR="001D77C8" w:rsidRPr="00130CE7" w:rsidRDefault="001D77C8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i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rt Division Here&gt;</w:t>
                                  </w:r>
                                </w:p>
                                <w:p w:rsidR="001D77C8" w:rsidRPr="00130CE7" w:rsidRDefault="001D77C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5.75pt;margin-top:18.5pt;width:237.2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" fillcolor="#548dd4 [1951]" stroked="f">
                      <v:textbox>
                        <w:txbxContent>
                          <w:p w:rsidR="001D77C8" w:rsidRPr="00130CE7" w:rsidRDefault="001D77C8" w:rsidP="00130CE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30CE7"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State of Nevada</w:t>
                            </w:r>
                          </w:p>
                          <w:p w:rsidR="001D77C8" w:rsidRDefault="001D77C8" w:rsidP="00702D68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30CE7"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Department of Health and Human Services</w:t>
                            </w:r>
                          </w:p>
                          <w:p w:rsidR="001D77C8" w:rsidRPr="005156E4" w:rsidRDefault="001D77C8" w:rsidP="005156E4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Division of Health Care Financing and Policy</w:t>
                            </w:r>
                          </w:p>
                          <w:p w:rsidR="001D77C8" w:rsidRPr="00130CE7" w:rsidRDefault="001D77C8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rt Division Here&gt;</w:t>
                            </w:r>
                          </w:p>
                          <w:p w:rsidR="001D77C8" w:rsidRPr="00130CE7" w:rsidRDefault="001D77C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139700</wp:posOffset>
                      </wp:positionV>
                      <wp:extent cx="1355090" cy="421640"/>
                      <wp:effectExtent l="0" t="3175" r="1270" b="381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42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C8" w:rsidRPr="004E1A99" w:rsidRDefault="001D77C8" w:rsidP="00A87C27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4E1A99">
                                    <w:rPr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>Consumer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95.7pt;margin-top:11pt;width:106.7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" fillcolor="#548dd4 [1951]" stroked="f">
                      <v:textbox>
                        <w:txbxContent>
                          <w:p w:rsidR="001D77C8" w:rsidRPr="004E1A99" w:rsidRDefault="001D77C8" w:rsidP="00A87C2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4E1A99">
                              <w:rPr>
                                <w:color w:val="FFFFFF" w:themeColor="background1"/>
                                <w:sz w:val="44"/>
                                <w:szCs w:val="72"/>
                              </w:rPr>
                              <w:t>Consumer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394335</wp:posOffset>
                      </wp:positionV>
                      <wp:extent cx="2870200" cy="643890"/>
                      <wp:effectExtent l="3175" t="635" r="3175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643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7C8" w:rsidRPr="00A205D5" w:rsidRDefault="001D77C8" w:rsidP="00A205D5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A205D5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FACT SHEET</w:t>
                                  </w:r>
                                </w:p>
                                <w:p w:rsidR="001D77C8" w:rsidRDefault="001D77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58.75pt;margin-top:31.05pt;width:226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" fillcolor="#548dd4 [1951]" stroked="f">
                      <v:textbox>
                        <w:txbxContent>
                          <w:p w:rsidR="001D77C8" w:rsidRPr="00A205D5" w:rsidRDefault="001D77C8" w:rsidP="00A205D5">
                            <w:pPr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205D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FACT SHEET</w:t>
                            </w:r>
                          </w:p>
                          <w:p w:rsidR="001D77C8" w:rsidRDefault="001D77C8"/>
                        </w:txbxContent>
                      </v:textbox>
                    </v:shape>
                  </w:pict>
                </mc:Fallback>
              </mc:AlternateConten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 cstate="print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1D77C8" w:rsidP="00E30249">
      <w:pPr>
        <w:spacing w:before="240"/>
        <w:jc w:val="center"/>
        <w:rPr>
          <w:b/>
          <w:sz w:val="28"/>
          <w:szCs w:val="28"/>
        </w:rPr>
      </w:pPr>
      <w:r w:rsidRPr="001D77C8">
        <w:rPr>
          <w:b/>
          <w:sz w:val="28"/>
          <w:szCs w:val="28"/>
        </w:rPr>
        <w:t>MONEY FOLLOWS THE PERSON GRANT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1D77C8" w:rsidP="00702D68">
      <w:pPr>
        <w:pStyle w:val="NoSpacing"/>
        <w:spacing w:after="240"/>
        <w:rPr>
          <w:rFonts w:ascii="Calibri" w:hAnsi="Calibri" w:cs="Arial"/>
        </w:rPr>
      </w:pPr>
      <w:r>
        <w:t>To balance the state</w:t>
      </w:r>
      <w:r w:rsidR="00E40E7A">
        <w:t>’</w:t>
      </w:r>
      <w:r>
        <w:t xml:space="preserve">s long-term systems by shifting cost </w:t>
      </w:r>
      <w:r w:rsidR="00E40E7A">
        <w:t>from nursing homes</w:t>
      </w:r>
      <w:r>
        <w:t xml:space="preserve"> to home and community-based services.  Assist individuals living in nursing homes or other institutions an opportunity to transition to the community.  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E40E7A" w:rsidP="00D23BEF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Individuals living in </w:t>
      </w:r>
      <w:r w:rsidR="001D77C8" w:rsidRPr="001D77C8">
        <w:rPr>
          <w:rFonts w:ascii="Calibri" w:hAnsi="Calibri" w:cs="Arial"/>
        </w:rPr>
        <w:t xml:space="preserve">nursing homes or other institutions </w:t>
      </w:r>
      <w:r>
        <w:rPr>
          <w:rFonts w:ascii="Calibri" w:hAnsi="Calibri" w:cs="Arial"/>
        </w:rPr>
        <w:t xml:space="preserve">and meet the eligibility criteria </w:t>
      </w:r>
      <w:r w:rsidR="001D77C8" w:rsidRPr="001D77C8">
        <w:rPr>
          <w:rFonts w:ascii="Calibri" w:hAnsi="Calibri" w:cs="Arial"/>
        </w:rPr>
        <w:t xml:space="preserve">who want to move back </w:t>
      </w:r>
      <w:r>
        <w:rPr>
          <w:rFonts w:ascii="Calibri" w:hAnsi="Calibri" w:cs="Arial"/>
        </w:rPr>
        <w:t xml:space="preserve">into </w:t>
      </w:r>
      <w:r w:rsidR="001D77C8" w:rsidRPr="001D77C8">
        <w:rPr>
          <w:rFonts w:ascii="Calibri" w:hAnsi="Calibri" w:cs="Arial"/>
        </w:rPr>
        <w:t>the community.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1D77C8" w:rsidP="00BC2869">
      <w:pPr>
        <w:rPr>
          <w:rFonts w:ascii="Calibri" w:eastAsia="Times New Roman" w:hAnsi="Calibri" w:cs="Arial"/>
        </w:rPr>
      </w:pPr>
      <w:r w:rsidRPr="00E642DD">
        <w:t>Must have been in a qualified institution for at least 90 days in a row;</w:t>
      </w:r>
      <w:r>
        <w:t xml:space="preserve"> </w:t>
      </w:r>
      <w:r w:rsidRPr="00E642DD">
        <w:t>eligible for Medicaid; discharge to a home, apartment, or setting</w:t>
      </w:r>
      <w:r w:rsidR="00E40E7A">
        <w:t xml:space="preserve"> in</w:t>
      </w:r>
      <w:r w:rsidRPr="00E642DD">
        <w:t xml:space="preserve"> which no more than 4 unrelated individuals reside; </w:t>
      </w:r>
      <w:r>
        <w:t>Medicaid must pay for</w:t>
      </w:r>
      <w:r w:rsidR="00E40E7A">
        <w:t xml:space="preserve"> at least</w:t>
      </w:r>
      <w:r>
        <w:t xml:space="preserve"> one day of institutional care; </w:t>
      </w:r>
      <w:r w:rsidRPr="00E642DD">
        <w:t>be able to have medical needs met in the community</w:t>
      </w:r>
      <w:r>
        <w:t>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64" w:rsidRPr="001D77C8" w:rsidRDefault="001D77C8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/>
          <w:b/>
          <w:sz w:val="22"/>
        </w:rPr>
        <w:t>Transition Navigation</w:t>
      </w:r>
      <w:r w:rsidRPr="001D77C8">
        <w:rPr>
          <w:rFonts w:asciiTheme="minorHAnsi" w:hAnsiTheme="minorHAnsi"/>
          <w:sz w:val="22"/>
        </w:rPr>
        <w:t xml:space="preserve"> - Case management services that assist individuals </w:t>
      </w:r>
      <w:r w:rsidR="00E40E7A">
        <w:rPr>
          <w:rFonts w:asciiTheme="minorHAnsi" w:hAnsiTheme="minorHAnsi"/>
          <w:sz w:val="22"/>
        </w:rPr>
        <w:t xml:space="preserve">to </w:t>
      </w:r>
      <w:r w:rsidRPr="001D77C8">
        <w:rPr>
          <w:rFonts w:asciiTheme="minorHAnsi" w:hAnsiTheme="minorHAnsi"/>
          <w:sz w:val="22"/>
        </w:rPr>
        <w:t xml:space="preserve">transition from a nursing facility or other institution to the community.  Assist eligible Medicaid recipients </w:t>
      </w:r>
      <w:r w:rsidR="00E40E7A">
        <w:rPr>
          <w:rFonts w:asciiTheme="minorHAnsi" w:hAnsiTheme="minorHAnsi"/>
          <w:sz w:val="22"/>
        </w:rPr>
        <w:t xml:space="preserve">to </w:t>
      </w:r>
      <w:r w:rsidRPr="001D77C8">
        <w:rPr>
          <w:rFonts w:asciiTheme="minorHAnsi" w:hAnsiTheme="minorHAnsi"/>
          <w:sz w:val="22"/>
        </w:rPr>
        <w:t>gain access to needed medical, social, vocational, and other support services, including hous</w:t>
      </w:r>
      <w:r w:rsidR="00E40E7A">
        <w:rPr>
          <w:rFonts w:asciiTheme="minorHAnsi" w:hAnsiTheme="minorHAnsi"/>
          <w:sz w:val="22"/>
        </w:rPr>
        <w:t>ing and transportation</w:t>
      </w:r>
      <w:r w:rsidRPr="001D77C8">
        <w:rPr>
          <w:rFonts w:asciiTheme="minorHAnsi" w:hAnsiTheme="minorHAnsi"/>
          <w:sz w:val="22"/>
        </w:rPr>
        <w:t xml:space="preserve">.  Other services include assessment, care planning, resources and referral, monitoring/follow-up.  Services are available for </w:t>
      </w:r>
      <w:r w:rsidRPr="001D77C8">
        <w:rPr>
          <w:rFonts w:asciiTheme="minorHAnsi" w:hAnsiTheme="minorHAnsi"/>
          <w:b/>
          <w:sz w:val="22"/>
        </w:rPr>
        <w:t>one year</w:t>
      </w:r>
      <w:r w:rsidRPr="001D77C8">
        <w:rPr>
          <w:rFonts w:asciiTheme="minorHAnsi" w:hAnsiTheme="minorHAnsi"/>
          <w:sz w:val="22"/>
        </w:rPr>
        <w:t xml:space="preserve"> from MFP enrollment date.</w:t>
      </w:r>
    </w:p>
    <w:p w:rsidR="001D77C8" w:rsidRDefault="001D77C8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b/>
          <w:sz w:val="22"/>
        </w:rPr>
        <w:t>Environmental Accessibility Adaptations</w:t>
      </w:r>
      <w:r w:rsidRPr="001D77C8">
        <w:rPr>
          <w:rFonts w:asciiTheme="minorHAnsi" w:hAnsiTheme="minorHAnsi" w:cs="Arial"/>
          <w:sz w:val="22"/>
        </w:rPr>
        <w:t xml:space="preserve"> - home modifications and adaptations (such as ramps, grab bars, stair lifts, etc.) </w:t>
      </w:r>
      <w:r w:rsidR="00E40E7A">
        <w:rPr>
          <w:rFonts w:asciiTheme="minorHAnsi" w:hAnsiTheme="minorHAnsi" w:cs="Arial"/>
          <w:sz w:val="22"/>
        </w:rPr>
        <w:t xml:space="preserve">which </w:t>
      </w:r>
      <w:r w:rsidRPr="001D77C8">
        <w:rPr>
          <w:rFonts w:asciiTheme="minorHAnsi" w:hAnsiTheme="minorHAnsi" w:cs="Arial"/>
          <w:sz w:val="22"/>
        </w:rPr>
        <w:t>can be provided following transition from the nursing home or other insti</w:t>
      </w:r>
      <w:r>
        <w:rPr>
          <w:rFonts w:asciiTheme="minorHAnsi" w:hAnsiTheme="minorHAnsi" w:cs="Arial"/>
          <w:sz w:val="22"/>
        </w:rPr>
        <w:t>t</w:t>
      </w:r>
      <w:r w:rsidRPr="001D77C8">
        <w:rPr>
          <w:rFonts w:asciiTheme="minorHAnsi" w:hAnsiTheme="minorHAnsi" w:cs="Arial"/>
          <w:sz w:val="22"/>
        </w:rPr>
        <w:t>ution to ensure the safety of participants.</w:t>
      </w:r>
    </w:p>
    <w:p w:rsidR="001D77C8" w:rsidRPr="001D77C8" w:rsidRDefault="001D77C8" w:rsidP="001D77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b/>
          <w:sz w:val="22"/>
        </w:rPr>
        <w:t>Community Transition Services</w:t>
      </w:r>
      <w:r w:rsidRPr="001D77C8">
        <w:rPr>
          <w:rFonts w:asciiTheme="minorHAnsi" w:hAnsiTheme="minorHAnsi" w:cs="Arial"/>
          <w:sz w:val="22"/>
        </w:rPr>
        <w:t xml:space="preserve"> - Funds that can be made available for goods and services necessary for individuals transitioning back to the community and to establish a household.  </w:t>
      </w:r>
      <w:r w:rsidR="00EB3722">
        <w:rPr>
          <w:rFonts w:asciiTheme="minorHAnsi" w:hAnsiTheme="minorHAnsi" w:cs="Arial"/>
          <w:sz w:val="22"/>
        </w:rPr>
        <w:t xml:space="preserve">New requests for transitioning participants will end December 31, 2018.  </w:t>
      </w:r>
      <w:r w:rsidRPr="001D77C8">
        <w:rPr>
          <w:rFonts w:asciiTheme="minorHAnsi" w:hAnsiTheme="minorHAnsi" w:cs="Arial"/>
          <w:sz w:val="22"/>
        </w:rPr>
        <w:t>Community Transition Services include, but are not limited to:</w:t>
      </w:r>
    </w:p>
    <w:p w:rsidR="001D77C8" w:rsidRPr="001D77C8" w:rsidRDefault="001D77C8" w:rsidP="001D77C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sz w:val="22"/>
        </w:rPr>
        <w:t xml:space="preserve">Housing deposits  </w:t>
      </w:r>
    </w:p>
    <w:p w:rsidR="001D77C8" w:rsidRPr="001D77C8" w:rsidRDefault="001D77C8" w:rsidP="001D77C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sz w:val="22"/>
        </w:rPr>
        <w:t>Moving expenses</w:t>
      </w:r>
    </w:p>
    <w:p w:rsidR="001D77C8" w:rsidRPr="001D77C8" w:rsidRDefault="001D77C8" w:rsidP="001D77C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sz w:val="22"/>
        </w:rPr>
        <w:t>Set-up fees and deposits for essential services (i.e., telephone, water, electricity, etc.)</w:t>
      </w:r>
    </w:p>
    <w:p w:rsidR="001D77C8" w:rsidRPr="001D77C8" w:rsidRDefault="001D77C8" w:rsidP="001D77C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sz w:val="22"/>
        </w:rPr>
        <w:t>Essential Household Items (furniture and appliances)</w:t>
      </w:r>
    </w:p>
    <w:p w:rsidR="001D77C8" w:rsidRPr="001D77C8" w:rsidRDefault="001D77C8" w:rsidP="001D77C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sz w:val="22"/>
        </w:rPr>
        <w:t>Cleaning costs</w:t>
      </w:r>
    </w:p>
    <w:p w:rsidR="001D77C8" w:rsidRDefault="001D77C8" w:rsidP="001D77C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sz w:val="22"/>
        </w:rPr>
        <w:t>Initial essential groceries</w:t>
      </w:r>
    </w:p>
    <w:p w:rsidR="001D77C8" w:rsidRPr="001D77C8" w:rsidRDefault="001D77C8" w:rsidP="001D77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inorHAnsi" w:hAnsiTheme="minorHAnsi" w:cs="Arial"/>
          <w:sz w:val="22"/>
        </w:rPr>
      </w:pPr>
      <w:r w:rsidRPr="001D77C8">
        <w:rPr>
          <w:rFonts w:asciiTheme="minorHAnsi" w:hAnsiTheme="minorHAnsi" w:cs="Arial"/>
          <w:sz w:val="22"/>
        </w:rPr>
        <w:t>Personal Emergency Response System (PERS) - an electronic device that is connected to a response center and used for individuals at high risk to receive help in an emergency.  PERS services are limited to individu</w:t>
      </w:r>
      <w:r w:rsidR="00E40E7A">
        <w:rPr>
          <w:rFonts w:asciiTheme="minorHAnsi" w:hAnsiTheme="minorHAnsi" w:cs="Arial"/>
          <w:sz w:val="22"/>
        </w:rPr>
        <w:t>a</w:t>
      </w:r>
      <w:r w:rsidRPr="001D77C8">
        <w:rPr>
          <w:rFonts w:asciiTheme="minorHAnsi" w:hAnsiTheme="minorHAnsi" w:cs="Arial"/>
          <w:sz w:val="22"/>
        </w:rPr>
        <w:t xml:space="preserve">ls who live alone, or who are alone for a significant part of day without a caregiver.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CB5C0C" w:rsidP="007A4A2F">
      <w:pPr>
        <w:spacing w:line="240" w:lineRule="auto"/>
        <w:rPr>
          <w:szCs w:val="28"/>
        </w:rPr>
      </w:pPr>
      <w:r w:rsidRPr="00CB5C0C">
        <w:rPr>
          <w:szCs w:val="28"/>
        </w:rPr>
        <w:t xml:space="preserve"> </w:t>
      </w:r>
      <w:r w:rsidR="001D77C8" w:rsidRPr="001D77C8">
        <w:rPr>
          <w:szCs w:val="28"/>
        </w:rPr>
        <w:t>To apply directly to the program</w:t>
      </w:r>
      <w:r w:rsidR="00E40E7A">
        <w:rPr>
          <w:szCs w:val="28"/>
        </w:rPr>
        <w:t>,</w:t>
      </w:r>
      <w:r w:rsidR="001D77C8" w:rsidRPr="001D77C8">
        <w:rPr>
          <w:szCs w:val="28"/>
        </w:rPr>
        <w:t xml:space="preserve"> complete the MFP Referral Form from the website and either fax or mail to the correct office listed on the form. </w:t>
      </w:r>
      <w:r w:rsidRPr="00CB5C0C">
        <w:rPr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1D77C8" w:rsidTr="001D7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7C8" w:rsidRPr="001D77C8" w:rsidRDefault="001D77C8" w:rsidP="001D77C8">
            <w:pPr>
              <w:rPr>
                <w:rFonts w:ascii="Calibri" w:hAnsi="Calibri"/>
                <w:b/>
              </w:rPr>
            </w:pPr>
            <w:r w:rsidRPr="001D77C8">
              <w:rPr>
                <w:rFonts w:ascii="Calibri" w:hAnsi="Calibri"/>
                <w:b/>
              </w:rPr>
              <w:t>For more information, contact one of the Nevada’s FOCIS units:</w:t>
            </w:r>
          </w:p>
          <w:p w:rsidR="001D77C8" w:rsidRDefault="001D77C8" w:rsidP="001D77C8">
            <w:pPr>
              <w:rPr>
                <w:rFonts w:ascii="Calibri" w:hAnsi="Calibri"/>
              </w:rPr>
            </w:pP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D77C8" w:rsidRPr="001D77C8" w:rsidRDefault="001D77C8" w:rsidP="001D77C8">
            <w:pPr>
              <w:rPr>
                <w:rFonts w:ascii="Calibri" w:hAnsi="Calibri"/>
                <w:b/>
              </w:rPr>
            </w:pPr>
            <w:r w:rsidRPr="001D77C8">
              <w:rPr>
                <w:rFonts w:ascii="Calibri" w:hAnsi="Calibri"/>
                <w:b/>
              </w:rPr>
              <w:lastRenderedPageBreak/>
              <w:t>FOCIS in the Las Vegas Area</w:t>
            </w:r>
          </w:p>
          <w:p w:rsidR="001D77C8" w:rsidRDefault="001D77C8" w:rsidP="001D77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(702) 668-4200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D77C8" w:rsidRPr="001D77C8" w:rsidRDefault="001D77C8" w:rsidP="001D77C8">
            <w:pPr>
              <w:rPr>
                <w:rFonts w:ascii="Calibri" w:hAnsi="Calibri"/>
                <w:b/>
                <w:color w:val="000000"/>
              </w:rPr>
            </w:pPr>
            <w:r w:rsidRPr="001D77C8">
              <w:rPr>
                <w:rFonts w:ascii="Calibri" w:hAnsi="Calibri"/>
                <w:b/>
                <w:color w:val="000000"/>
              </w:rPr>
              <w:t xml:space="preserve">FOCIS in the </w:t>
            </w:r>
            <w:r w:rsidR="0018783F">
              <w:rPr>
                <w:rFonts w:ascii="Calibri" w:hAnsi="Calibri"/>
                <w:b/>
                <w:color w:val="000000"/>
              </w:rPr>
              <w:t>Reno</w:t>
            </w:r>
            <w:r w:rsidRPr="001D77C8">
              <w:rPr>
                <w:rFonts w:ascii="Calibri" w:hAnsi="Calibri"/>
                <w:b/>
                <w:color w:val="000000"/>
              </w:rPr>
              <w:t xml:space="preserve"> Area</w:t>
            </w:r>
          </w:p>
          <w:p w:rsidR="001D77C8" w:rsidRDefault="001D77C8" w:rsidP="001D77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687-1900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</w:tr>
      <w:tr w:rsidR="001D77C8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D77C8" w:rsidRPr="001D77C8" w:rsidRDefault="001D77C8" w:rsidP="001D77C8">
            <w:pPr>
              <w:rPr>
                <w:rFonts w:ascii="Calibri" w:hAnsi="Calibri"/>
                <w:b/>
                <w:color w:val="000000"/>
              </w:rPr>
            </w:pPr>
            <w:r w:rsidRPr="001D77C8">
              <w:rPr>
                <w:rFonts w:ascii="Calibri" w:hAnsi="Calibri"/>
                <w:b/>
                <w:color w:val="000000"/>
              </w:rPr>
              <w:t xml:space="preserve">FOCIS in the </w:t>
            </w:r>
            <w:r w:rsidR="0018783F">
              <w:rPr>
                <w:rFonts w:ascii="Calibri" w:hAnsi="Calibri"/>
                <w:b/>
                <w:color w:val="000000"/>
              </w:rPr>
              <w:t>Carson City</w:t>
            </w:r>
            <w:r w:rsidRPr="001D77C8">
              <w:rPr>
                <w:rFonts w:ascii="Calibri" w:hAnsi="Calibri"/>
                <w:b/>
                <w:color w:val="000000"/>
              </w:rPr>
              <w:t xml:space="preserve"> Area</w:t>
            </w:r>
          </w:p>
          <w:p w:rsidR="001D77C8" w:rsidRPr="001D77C8" w:rsidRDefault="001D77C8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684-3651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D77C8" w:rsidRPr="001D77C8" w:rsidRDefault="001D77C8" w:rsidP="001D77C8">
            <w:pPr>
              <w:rPr>
                <w:rFonts w:ascii="Calibri" w:hAnsi="Calibri"/>
                <w:b/>
                <w:color w:val="000000"/>
              </w:rPr>
            </w:pPr>
            <w:r w:rsidRPr="001D77C8">
              <w:rPr>
                <w:rFonts w:ascii="Calibri" w:hAnsi="Calibri"/>
                <w:b/>
                <w:color w:val="000000"/>
              </w:rPr>
              <w:t>FOCIS in the Elko Area and Rural Eastern Nevada</w:t>
            </w:r>
          </w:p>
          <w:p w:rsidR="001D77C8" w:rsidRPr="001D77C8" w:rsidRDefault="001D77C8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(775)753-1191</w:t>
            </w: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  <w:gridCol w:w="378"/>
      </w:tblGrid>
      <w:tr w:rsidR="00705A72" w:rsidRPr="00487A47" w:rsidTr="001D77C8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1D7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1D77C8" w:rsidRDefault="00A61903" w:rsidP="001D77C8">
            <w:pPr>
              <w:rPr>
                <w:rFonts w:ascii="Calibri" w:hAnsi="Calibri"/>
                <w:color w:val="0000FF"/>
                <w:u w:val="single"/>
              </w:rPr>
            </w:pPr>
            <w:hyperlink r:id="rId9" w:anchor="services " w:history="1">
              <w:r w:rsidR="001D77C8">
                <w:rPr>
                  <w:rStyle w:val="Hyperlink"/>
                  <w:rFonts w:ascii="Calibri" w:hAnsi="Calibri"/>
                </w:rPr>
                <w:t xml:space="preserve">https://www.nevadaadrc.com/services-and-programs/money-follows-the-person-mfp#services </w:t>
              </w:r>
            </w:hyperlink>
          </w:p>
          <w:p w:rsidR="00705A72" w:rsidRPr="00705A72" w:rsidRDefault="00705A72" w:rsidP="00705A72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  <w:tr w:rsidR="00705A72" w:rsidTr="001D7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1D77C8" w:rsidRDefault="00A61903" w:rsidP="001D77C8">
            <w:pPr>
              <w:rPr>
                <w:rFonts w:ascii="Calibri" w:hAnsi="Calibri"/>
                <w:color w:val="0000FF"/>
                <w:u w:val="single"/>
              </w:rPr>
            </w:pPr>
            <w:hyperlink r:id="rId10" w:anchor="more-info " w:history="1">
              <w:r w:rsidR="001D77C8">
                <w:rPr>
                  <w:rStyle w:val="Hyperlink"/>
                  <w:rFonts w:ascii="Calibri" w:hAnsi="Calibri"/>
                </w:rPr>
                <w:t xml:space="preserve">https://www.nevadaadrc.com/services-and-programs/money-follows-the-person-mfp#more-info </w:t>
              </w:r>
            </w:hyperlink>
          </w:p>
          <w:p w:rsidR="00705A72" w:rsidRPr="00705A72" w:rsidRDefault="00705A72" w:rsidP="00705A72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  <w:tr w:rsidR="001D77C8" w:rsidTr="001D77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1D77C8" w:rsidRDefault="00A61903" w:rsidP="001D77C8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1D77C8">
                <w:rPr>
                  <w:rStyle w:val="Hyperlink"/>
                  <w:rFonts w:ascii="Calibri" w:hAnsi="Calibri"/>
                </w:rPr>
                <w:t xml:space="preserve">http://www.nevadaadrc.com/ </w:t>
              </w:r>
            </w:hyperlink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D77C8" w:rsidRPr="00705A72" w:rsidRDefault="001D77C8" w:rsidP="00705A72"/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1D77C8">
        <w:rPr>
          <w:rFonts w:ascii="Calibri" w:hAnsi="Calibri"/>
          <w:i/>
          <w:sz w:val="18"/>
        </w:rPr>
        <w:t>6/23/16 PS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03" w:rsidRDefault="00A61903" w:rsidP="00491008">
      <w:pPr>
        <w:spacing w:after="0" w:line="240" w:lineRule="auto"/>
      </w:pPr>
      <w:r>
        <w:separator/>
      </w:r>
    </w:p>
  </w:endnote>
  <w:endnote w:type="continuationSeparator" w:id="0">
    <w:p w:rsidR="00A61903" w:rsidRDefault="00A61903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7621"/>
      <w:docPartObj>
        <w:docPartGallery w:val="Page Numbers (Bottom of Page)"/>
        <w:docPartUnique/>
      </w:docPartObj>
    </w:sdtPr>
    <w:sdtEndPr/>
    <w:sdtContent>
      <w:p w:rsidR="001D77C8" w:rsidRDefault="00A61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7C8" w:rsidRDefault="001D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03" w:rsidRDefault="00A61903" w:rsidP="00491008">
      <w:pPr>
        <w:spacing w:after="0" w:line="240" w:lineRule="auto"/>
      </w:pPr>
      <w:r>
        <w:separator/>
      </w:r>
    </w:p>
  </w:footnote>
  <w:footnote w:type="continuationSeparator" w:id="0">
    <w:p w:rsidR="00A61903" w:rsidRDefault="00A61903" w:rsidP="0049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5"/>
    <w:rsid w:val="00012D29"/>
    <w:rsid w:val="00013296"/>
    <w:rsid w:val="00040A14"/>
    <w:rsid w:val="0006393B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18783F"/>
    <w:rsid w:val="001D370B"/>
    <w:rsid w:val="001D77C8"/>
    <w:rsid w:val="002402C5"/>
    <w:rsid w:val="00243988"/>
    <w:rsid w:val="002B7979"/>
    <w:rsid w:val="003C12D8"/>
    <w:rsid w:val="003C1E10"/>
    <w:rsid w:val="003D5F6C"/>
    <w:rsid w:val="003E10C6"/>
    <w:rsid w:val="003E1704"/>
    <w:rsid w:val="003E51AC"/>
    <w:rsid w:val="004011E7"/>
    <w:rsid w:val="00403074"/>
    <w:rsid w:val="00403C2C"/>
    <w:rsid w:val="00417E5D"/>
    <w:rsid w:val="00421381"/>
    <w:rsid w:val="004616F7"/>
    <w:rsid w:val="00473381"/>
    <w:rsid w:val="00487A47"/>
    <w:rsid w:val="00491008"/>
    <w:rsid w:val="00492759"/>
    <w:rsid w:val="004B68D7"/>
    <w:rsid w:val="004D6FFC"/>
    <w:rsid w:val="004F5BD7"/>
    <w:rsid w:val="005059A2"/>
    <w:rsid w:val="005156E4"/>
    <w:rsid w:val="00536EB5"/>
    <w:rsid w:val="00560C4B"/>
    <w:rsid w:val="0057109B"/>
    <w:rsid w:val="00575E88"/>
    <w:rsid w:val="00642712"/>
    <w:rsid w:val="00697D95"/>
    <w:rsid w:val="006B08FA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30C48"/>
    <w:rsid w:val="009609D2"/>
    <w:rsid w:val="00977623"/>
    <w:rsid w:val="009838F4"/>
    <w:rsid w:val="00984AAB"/>
    <w:rsid w:val="009A0555"/>
    <w:rsid w:val="009A3E3C"/>
    <w:rsid w:val="009C5C4A"/>
    <w:rsid w:val="009C6F38"/>
    <w:rsid w:val="009E2D16"/>
    <w:rsid w:val="009E69C1"/>
    <w:rsid w:val="00A205D5"/>
    <w:rsid w:val="00A32C1B"/>
    <w:rsid w:val="00A61903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90BB0"/>
    <w:rsid w:val="00BC2869"/>
    <w:rsid w:val="00BC3EDD"/>
    <w:rsid w:val="00BD1A37"/>
    <w:rsid w:val="00BE2372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40E7A"/>
    <w:rsid w:val="00E7306E"/>
    <w:rsid w:val="00EB3722"/>
    <w:rsid w:val="00F12BAB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807D9FEB-203E-459F-8B37-7F1938D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vadaadrc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evadaadrc.com/services-and-programs/money-follows-the-person-m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vadaadrc.com/services-and-programs/money-follows-the-person-m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Anthony Lonnegren</cp:lastModifiedBy>
  <cp:revision>2</cp:revision>
  <cp:lastPrinted>2017-10-31T18:43:00Z</cp:lastPrinted>
  <dcterms:created xsi:type="dcterms:W3CDTF">2017-11-21T18:47:00Z</dcterms:created>
  <dcterms:modified xsi:type="dcterms:W3CDTF">2017-11-21T18:47:00Z</dcterms:modified>
</cp:coreProperties>
</file>