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4A0F1B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0A0AB3" w:rsidRPr="00130CE7" w:rsidRDefault="000A0AB3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0A0AB3" w:rsidRDefault="000A0AB3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0A0AB3" w:rsidRPr="005156E4" w:rsidRDefault="000A0AB3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Aging and Disability Services Division</w:t>
                        </w:r>
                      </w:p>
                      <w:p w:rsidR="000A0AB3" w:rsidRPr="00130CE7" w:rsidRDefault="000A0AB3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</w:t>
                        </w:r>
                        <w:proofErr w:type="spellEnd"/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 xml:space="preserve"> Division Here&gt;</w:t>
                        </w:r>
                      </w:p>
                      <w:p w:rsidR="000A0AB3" w:rsidRPr="00130CE7" w:rsidRDefault="000A0AB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0A0AB3" w:rsidRPr="004E1A99" w:rsidRDefault="000A0AB3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0A0AB3" w:rsidRPr="00A205D5" w:rsidRDefault="000A0AB3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0A0AB3" w:rsidRDefault="000A0AB3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0A0AB3" w:rsidP="00E30249">
      <w:pPr>
        <w:spacing w:before="240"/>
        <w:jc w:val="center"/>
        <w:rPr>
          <w:b/>
          <w:sz w:val="28"/>
          <w:szCs w:val="28"/>
        </w:rPr>
      </w:pPr>
      <w:r w:rsidRPr="000A0AB3">
        <w:rPr>
          <w:b/>
          <w:sz w:val="28"/>
          <w:szCs w:val="28"/>
        </w:rPr>
        <w:t>RYAN WHITE HIV/AIDS PART B (RWPB) PROGRAM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0A0AB3" w:rsidP="00702D68">
      <w:pPr>
        <w:pStyle w:val="NoSpacing"/>
        <w:spacing w:after="240"/>
        <w:rPr>
          <w:rFonts w:ascii="Calibri" w:hAnsi="Calibri" w:cs="Arial"/>
        </w:rPr>
      </w:pPr>
      <w:r w:rsidRPr="000A0AB3">
        <w:rPr>
          <w:rFonts w:ascii="Calibri" w:hAnsi="Calibri" w:cs="Arial"/>
        </w:rPr>
        <w:t>The purpose of the RWPB program is to provide life-saving medications, essential primary care and support services for those who do not have sufficient health care coverage or financial resources for coping with HIV/AIDS.  The RWPB program fills gaps in care not covere</w:t>
      </w:r>
      <w:r>
        <w:rPr>
          <w:rFonts w:ascii="Calibri" w:hAnsi="Calibri" w:cs="Arial"/>
        </w:rPr>
        <w:t>d by other sources and is a paye</w:t>
      </w:r>
      <w:r w:rsidRPr="000A0AB3">
        <w:rPr>
          <w:rFonts w:ascii="Calibri" w:hAnsi="Calibri" w:cs="Arial"/>
        </w:rPr>
        <w:t>r of last resort.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0A0AB3" w:rsidP="00D23BEF">
      <w:pPr>
        <w:spacing w:after="0" w:line="240" w:lineRule="auto"/>
        <w:rPr>
          <w:rFonts w:ascii="Calibri" w:hAnsi="Calibri" w:cs="Arial"/>
        </w:rPr>
      </w:pPr>
      <w:proofErr w:type="gramStart"/>
      <w:r w:rsidRPr="000A0AB3">
        <w:rPr>
          <w:rFonts w:ascii="Calibri" w:hAnsi="Calibri" w:cs="Arial"/>
        </w:rPr>
        <w:t>Low-income, underinsured or uninsured people with HIV/AIDS in Nevada.</w:t>
      </w:r>
      <w:proofErr w:type="gramEnd"/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Pr="00BC2869" w:rsidRDefault="000A0AB3" w:rsidP="00BC2869">
      <w:pPr>
        <w:rPr>
          <w:rFonts w:ascii="Calibri" w:eastAsia="Times New Roman" w:hAnsi="Calibri" w:cs="Arial"/>
        </w:rPr>
      </w:pPr>
      <w:r w:rsidRPr="000A0AB3">
        <w:rPr>
          <w:rFonts w:ascii="Calibri" w:eastAsia="Times New Roman" w:hAnsi="Calibri" w:cs="Arial"/>
        </w:rPr>
        <w:t>The following documents are required: client application; proof of ID; diagnosis; current labs; residency; income level; household size and verification of any insurance coverage.</w:t>
      </w:r>
      <w:r>
        <w:rPr>
          <w:rFonts w:ascii="Calibri" w:eastAsia="Times New Roman" w:hAnsi="Calibri" w:cs="Arial"/>
        </w:rPr>
        <w:t xml:space="preserve">  </w:t>
      </w:r>
      <w:hyperlink r:id="rId8" w:history="1">
        <w:r w:rsidRPr="00191DC0">
          <w:rPr>
            <w:rStyle w:val="Hyperlink"/>
            <w:rFonts w:ascii="Calibri" w:eastAsia="Times New Roman" w:hAnsi="Calibri" w:cs="Arial"/>
          </w:rPr>
          <w:t>http://dpbh.nv.gov/Programs/HIV-Ryan/Eligibility/</w:t>
        </w:r>
      </w:hyperlink>
      <w:r>
        <w:rPr>
          <w:rFonts w:ascii="Calibri" w:eastAsia="Times New Roman" w:hAnsi="Calibri" w:cs="Arial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0AB3" w:rsidRDefault="00CB5C0C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B5C0C">
        <w:rPr>
          <w:rFonts w:ascii="Calibri" w:hAnsi="Calibri" w:cs="Arial"/>
        </w:rPr>
        <w:lastRenderedPageBreak/>
        <w:t xml:space="preserve"> </w:t>
      </w:r>
      <w:r w:rsidR="000A0AB3" w:rsidRPr="000A0AB3">
        <w:rPr>
          <w:rFonts w:ascii="Calibri" w:hAnsi="Calibri" w:cs="Arial"/>
        </w:rPr>
        <w:t xml:space="preserve">AIDS Drug Assistance Program (ADAP): ADAP pays for medications to treat HIV disease, provides premium and co-pay assistance for health insurance coverage.  Provides medical core services that enhance access, adherence, and monitoring of medication treatment. </w:t>
      </w:r>
    </w:p>
    <w:p w:rsidR="000A0AB3" w:rsidRDefault="000A0AB3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0A0AB3">
        <w:rPr>
          <w:rFonts w:ascii="Calibri" w:hAnsi="Calibri" w:cs="Arial"/>
        </w:rPr>
        <w:t>The following core medical services are provided by the RWPB program: Outpatient and ambulatory services; Oral Health Care; Early Intervention Services; Medical Nutrition Therapy; Mental Health Services; Substance Abuse Outpatient Services and Medical Case Management, including Treatment Adherence.</w:t>
      </w:r>
    </w:p>
    <w:p w:rsidR="000A0AB3" w:rsidRDefault="000A0AB3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0A0AB3">
        <w:rPr>
          <w:rFonts w:ascii="Calibri" w:hAnsi="Calibri" w:cs="Arial"/>
        </w:rPr>
        <w:t xml:space="preserve">The following support services are provided by the RWPB program: Case Management (non-medical); Health Education/Risk Reduction; Housing Services; Legal Services; Medical Transportation; Psychosocial Support Services and Referral to Healthcare/Supportive Services. </w:t>
      </w:r>
    </w:p>
    <w:p w:rsidR="008F3064" w:rsidRDefault="000A0AB3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0A0AB3">
        <w:rPr>
          <w:rFonts w:ascii="Calibri" w:hAnsi="Calibri" w:cs="Arial"/>
        </w:rPr>
        <w:t>Housing Opportunities for People with AIDS (HOPWA): HOPWA primary purpose is to prevent and eliminate homelessness among people living with HIV/AIDS.  Services include short term rent, mortgage and utility (STRMU) services; tenant based rental assistance (TBRA) services and permanent housing placement (PHP) services.</w:t>
      </w:r>
      <w:r w:rsidR="00CB5C0C" w:rsidRPr="00CB5C0C">
        <w:rPr>
          <w:rFonts w:ascii="Calibri" w:hAnsi="Calibri" w:cs="Arial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D23BEF" w:rsidRDefault="000A0AB3" w:rsidP="0006393B">
      <w:pPr>
        <w:pStyle w:val="NoSpacing"/>
        <w:spacing w:after="240"/>
      </w:pPr>
      <w:r w:rsidRPr="000A0AB3">
        <w:t>The RWPB program is required by legislation to develop a comprehensive  service delivery which includes an integrated service network that guides and t</w:t>
      </w:r>
      <w:r>
        <w:t>racks HIV clients over time thro</w:t>
      </w:r>
      <w:r w:rsidRPr="000A0AB3">
        <w:t>ugh an array of clinical, mental and social services to promote health, enhance quality of life and enable clients to achieve and maintain HIV viral load suppression and treatment adherence.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0A0AB3" w:rsidP="007A4A2F">
      <w:pPr>
        <w:spacing w:line="240" w:lineRule="auto"/>
        <w:rPr>
          <w:szCs w:val="28"/>
        </w:rPr>
      </w:pPr>
      <w:r w:rsidRPr="000A0AB3">
        <w:rPr>
          <w:szCs w:val="28"/>
        </w:rPr>
        <w:t>Eligibility screening process and enrollment is available at five locations statewide, see below for contact information.</w:t>
      </w:r>
      <w:r w:rsidR="00CB5C0C" w:rsidRPr="00CB5C0C">
        <w:rPr>
          <w:szCs w:val="28"/>
        </w:rPr>
        <w:t xml:space="preserve">   </w:t>
      </w:r>
    </w:p>
    <w:p w:rsidR="000A0AB3" w:rsidRDefault="000A0AB3">
      <w:pPr>
        <w:rPr>
          <w:szCs w:val="28"/>
        </w:rPr>
      </w:pPr>
      <w:r>
        <w:rPr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lastRenderedPageBreak/>
              <w:t>For Information</w:t>
            </w:r>
          </w:p>
        </w:tc>
      </w:tr>
      <w:tr w:rsidR="00B173C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Pr="002B1174" w:rsidRDefault="000A0AB3" w:rsidP="00F262AF">
            <w:pPr>
              <w:rPr>
                <w:rFonts w:ascii="Calibri" w:hAnsi="Calibri"/>
                <w:b/>
              </w:rPr>
            </w:pPr>
            <w:r w:rsidRPr="002B1174">
              <w:rPr>
                <w:rFonts w:ascii="Calibri" w:hAnsi="Calibri"/>
                <w:b/>
              </w:rPr>
              <w:t>Access to Healthcare Network (AHN) Northern Nevada</w:t>
            </w:r>
          </w:p>
          <w:p w:rsidR="000A0AB3" w:rsidRDefault="000A0AB3" w:rsidP="00F262AF">
            <w:pPr>
              <w:rPr>
                <w:rFonts w:ascii="Calibri" w:hAnsi="Calibri"/>
              </w:rPr>
            </w:pPr>
            <w:r w:rsidRPr="000A0AB3">
              <w:rPr>
                <w:rFonts w:ascii="Calibri" w:hAnsi="Calibri"/>
              </w:rPr>
              <w:t>4001 S. Virginia St., Suite F, Reno NV 89502</w:t>
            </w:r>
          </w:p>
          <w:p w:rsidR="007102AB" w:rsidRDefault="000A0AB3" w:rsidP="00F262AF">
            <w:pPr>
              <w:rPr>
                <w:rFonts w:ascii="Calibri" w:hAnsi="Calibri"/>
              </w:rPr>
            </w:pPr>
            <w:r w:rsidRPr="000A0AB3">
              <w:rPr>
                <w:rFonts w:ascii="Calibri" w:hAnsi="Calibri"/>
              </w:rPr>
              <w:t>(877) 385-2345 toll-free</w:t>
            </w:r>
          </w:p>
          <w:p w:rsidR="000A0AB3" w:rsidRDefault="000A0AB3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Pr="002B1174" w:rsidRDefault="002B1174" w:rsidP="00F262AF">
            <w:pPr>
              <w:rPr>
                <w:rFonts w:ascii="Calibri" w:hAnsi="Calibri"/>
                <w:b/>
              </w:rPr>
            </w:pPr>
            <w:r w:rsidRPr="002B1174">
              <w:rPr>
                <w:rFonts w:ascii="Calibri" w:hAnsi="Calibri"/>
                <w:b/>
              </w:rPr>
              <w:t>Southern Nevada Health District</w:t>
            </w:r>
          </w:p>
          <w:p w:rsidR="007102AB" w:rsidRDefault="002B1174" w:rsidP="00F262AF">
            <w:pPr>
              <w:rPr>
                <w:rFonts w:ascii="Calibri" w:hAnsi="Calibri"/>
              </w:rPr>
            </w:pPr>
            <w:r w:rsidRPr="002B1174">
              <w:rPr>
                <w:rFonts w:ascii="Calibri" w:hAnsi="Calibri"/>
              </w:rPr>
              <w:t>280 S. Decatur Blvd., Las Vegas 89107</w:t>
            </w:r>
          </w:p>
          <w:p w:rsidR="007102AB" w:rsidRDefault="002B1174" w:rsidP="00F262AF">
            <w:pPr>
              <w:rPr>
                <w:rFonts w:ascii="Calibri" w:hAnsi="Calibri"/>
              </w:rPr>
            </w:pPr>
            <w:r w:rsidRPr="002B1174">
              <w:rPr>
                <w:rFonts w:ascii="Calibri" w:hAnsi="Calibri"/>
              </w:rPr>
              <w:t>702-759-0702</w:t>
            </w:r>
          </w:p>
        </w:tc>
      </w:tr>
      <w:tr w:rsidR="005156E4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Pr="002B1174" w:rsidRDefault="000A0AB3" w:rsidP="00F262AF">
            <w:pPr>
              <w:rPr>
                <w:rFonts w:ascii="Calibri" w:hAnsi="Calibri"/>
                <w:b/>
              </w:rPr>
            </w:pPr>
            <w:r w:rsidRPr="002B1174">
              <w:rPr>
                <w:rFonts w:ascii="Calibri" w:hAnsi="Calibri"/>
                <w:b/>
              </w:rPr>
              <w:t>Northern Nevada HOPES</w:t>
            </w:r>
          </w:p>
          <w:p w:rsidR="007102AB" w:rsidRDefault="000A0AB3" w:rsidP="00F262AF">
            <w:pPr>
              <w:rPr>
                <w:rFonts w:ascii="Calibri" w:hAnsi="Calibri"/>
              </w:rPr>
            </w:pPr>
            <w:r w:rsidRPr="000A0AB3">
              <w:rPr>
                <w:rFonts w:ascii="Calibri" w:hAnsi="Calibri"/>
              </w:rPr>
              <w:t>580 W. 5th Street, Reno NV 89503</w:t>
            </w:r>
          </w:p>
          <w:p w:rsidR="007102AB" w:rsidRDefault="002B1174" w:rsidP="00F262AF">
            <w:pPr>
              <w:rPr>
                <w:rFonts w:ascii="Calibri" w:hAnsi="Calibri"/>
              </w:rPr>
            </w:pPr>
            <w:r w:rsidRPr="002B1174">
              <w:rPr>
                <w:rFonts w:ascii="Calibri" w:hAnsi="Calibri"/>
              </w:rPr>
              <w:t>775-348-2893</w:t>
            </w:r>
          </w:p>
          <w:p w:rsidR="002B1174" w:rsidRDefault="002B1174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Pr="002B1174" w:rsidRDefault="002B1174" w:rsidP="00F262AF">
            <w:pPr>
              <w:rPr>
                <w:rFonts w:ascii="Calibri" w:hAnsi="Calibri"/>
                <w:b/>
              </w:rPr>
            </w:pPr>
            <w:r w:rsidRPr="002B1174">
              <w:rPr>
                <w:rFonts w:ascii="Calibri" w:hAnsi="Calibri"/>
                <w:b/>
              </w:rPr>
              <w:t>Aid for AIDS of Nevada</w:t>
            </w:r>
          </w:p>
          <w:p w:rsidR="007102AB" w:rsidRDefault="002B1174" w:rsidP="00F262AF">
            <w:pPr>
              <w:rPr>
                <w:rFonts w:ascii="Calibri" w:hAnsi="Calibri"/>
              </w:rPr>
            </w:pPr>
            <w:r w:rsidRPr="002B1174">
              <w:rPr>
                <w:rFonts w:ascii="Calibri" w:hAnsi="Calibri"/>
              </w:rPr>
              <w:t>1120 Almond Tree Lane, Las Vegas NV 89104</w:t>
            </w:r>
          </w:p>
          <w:p w:rsidR="007102AB" w:rsidRDefault="002B1174" w:rsidP="00F262AF">
            <w:pPr>
              <w:rPr>
                <w:rFonts w:ascii="Calibri" w:hAnsi="Calibri"/>
              </w:rPr>
            </w:pPr>
            <w:r w:rsidRPr="002B1174">
              <w:rPr>
                <w:rFonts w:ascii="Calibri" w:hAnsi="Calibri"/>
              </w:rPr>
              <w:t>702-382-2326</w:t>
            </w:r>
          </w:p>
        </w:tc>
      </w:tr>
      <w:tr w:rsidR="000A0AB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A0AB3" w:rsidRDefault="000A0AB3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A0AB3" w:rsidRPr="002B1174" w:rsidRDefault="002B1174" w:rsidP="00F262AF">
            <w:pPr>
              <w:rPr>
                <w:rFonts w:ascii="Calibri" w:hAnsi="Calibri"/>
                <w:b/>
              </w:rPr>
            </w:pPr>
            <w:r w:rsidRPr="002B1174">
              <w:rPr>
                <w:rFonts w:ascii="Calibri" w:hAnsi="Calibri"/>
                <w:b/>
              </w:rPr>
              <w:t>Access to Healthcare Network (AHN) Southern Nevada</w:t>
            </w:r>
          </w:p>
          <w:p w:rsidR="002B1174" w:rsidRDefault="002B1174" w:rsidP="00F262AF">
            <w:pPr>
              <w:rPr>
                <w:rFonts w:ascii="Calibri" w:hAnsi="Calibri"/>
              </w:rPr>
            </w:pPr>
            <w:r w:rsidRPr="002B1174">
              <w:rPr>
                <w:rFonts w:ascii="Calibri" w:hAnsi="Calibri"/>
              </w:rPr>
              <w:t>3075 Flamingo Rd., Suite 116A, Las Vegas NV 89121</w:t>
            </w:r>
          </w:p>
          <w:p w:rsidR="002B1174" w:rsidRDefault="002B1174" w:rsidP="00F262AF">
            <w:pPr>
              <w:rPr>
                <w:rFonts w:ascii="Calibri" w:hAnsi="Calibri"/>
              </w:rPr>
            </w:pPr>
            <w:r w:rsidRPr="002B1174">
              <w:rPr>
                <w:rFonts w:ascii="Calibri" w:hAnsi="Calibri"/>
              </w:rPr>
              <w:t>877-385-2345</w:t>
            </w:r>
          </w:p>
        </w:tc>
      </w:tr>
    </w:tbl>
    <w:p w:rsidR="00F66571" w:rsidRDefault="00F66571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05A72" w:rsidRPr="00487A47" w:rsidTr="000A0AB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705A72" w:rsidTr="00705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2B1174" w:rsidP="00705A72">
            <w:r w:rsidRPr="002B1174">
              <w:t>Access to Healthcare Network (AHN)</w:t>
            </w:r>
            <w: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4A0F1B" w:rsidP="00705A72">
            <w:hyperlink r:id="rId11" w:history="1">
              <w:r w:rsidR="002B1174" w:rsidRPr="00191DC0">
                <w:rPr>
                  <w:rStyle w:val="Hyperlink"/>
                </w:rPr>
                <w:t>http://www.accesstohealthcare.org/services-individuals</w:t>
              </w:r>
            </w:hyperlink>
            <w:r w:rsidR="002B1174">
              <w:t xml:space="preserve"> </w:t>
            </w:r>
          </w:p>
        </w:tc>
      </w:tr>
      <w:tr w:rsidR="00705A72" w:rsidTr="000A0A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</w:tr>
    </w:tbl>
    <w:p w:rsidR="00705A72" w:rsidRDefault="00705A72" w:rsidP="00B24390">
      <w:pPr>
        <w:spacing w:after="0" w:line="240" w:lineRule="auto"/>
        <w:jc w:val="right"/>
      </w:pPr>
    </w:p>
    <w:p w:rsidR="00B24390" w:rsidRPr="00B24390" w:rsidRDefault="00B24390" w:rsidP="00B24390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B24390">
        <w:rPr>
          <w:rFonts w:ascii="Calibri" w:hAnsi="Calibri"/>
          <w:i/>
          <w:sz w:val="18"/>
        </w:rPr>
        <w:t xml:space="preserve">Last Updated: </w:t>
      </w:r>
      <w:r w:rsidR="002B1174">
        <w:rPr>
          <w:rFonts w:ascii="Calibri" w:hAnsi="Calibri"/>
          <w:i/>
          <w:sz w:val="18"/>
        </w:rPr>
        <w:t>10/20/16 DO</w:t>
      </w:r>
    </w:p>
    <w:sectPr w:rsidR="00B24390" w:rsidRPr="00B24390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B3" w:rsidRDefault="000A0AB3" w:rsidP="00491008">
      <w:pPr>
        <w:spacing w:after="0" w:line="240" w:lineRule="auto"/>
      </w:pPr>
      <w:r>
        <w:separator/>
      </w:r>
    </w:p>
  </w:endnote>
  <w:endnote w:type="continuationSeparator" w:id="1">
    <w:p w:rsidR="000A0AB3" w:rsidRDefault="000A0AB3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0A0AB3" w:rsidRDefault="004A0F1B">
        <w:pPr>
          <w:pStyle w:val="Footer"/>
          <w:jc w:val="center"/>
        </w:pPr>
        <w:fldSimple w:instr=" PAGE   \* MERGEFORMAT ">
          <w:r w:rsidR="007638D5">
            <w:rPr>
              <w:noProof/>
            </w:rPr>
            <w:t>1</w:t>
          </w:r>
        </w:fldSimple>
      </w:p>
    </w:sdtContent>
  </w:sdt>
  <w:p w:rsidR="000A0AB3" w:rsidRDefault="000A0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B3" w:rsidRDefault="000A0AB3" w:rsidP="00491008">
      <w:pPr>
        <w:spacing w:after="0" w:line="240" w:lineRule="auto"/>
      </w:pPr>
      <w:r>
        <w:separator/>
      </w:r>
    </w:p>
  </w:footnote>
  <w:footnote w:type="continuationSeparator" w:id="1">
    <w:p w:rsidR="000A0AB3" w:rsidRDefault="000A0AB3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B3" w:rsidRPr="009756AF" w:rsidRDefault="000A0AB3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o8KIt567cWR+BZH5QPbt1iCzWeE=" w:salt="/jL34XS+LjXAhZK1w2feqg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5D5"/>
    <w:rsid w:val="00012D29"/>
    <w:rsid w:val="00013296"/>
    <w:rsid w:val="00016AEC"/>
    <w:rsid w:val="00040A14"/>
    <w:rsid w:val="0006393B"/>
    <w:rsid w:val="00086D98"/>
    <w:rsid w:val="0009537E"/>
    <w:rsid w:val="000A0AB3"/>
    <w:rsid w:val="000C3054"/>
    <w:rsid w:val="000C5CDD"/>
    <w:rsid w:val="000D7C0A"/>
    <w:rsid w:val="0010089B"/>
    <w:rsid w:val="001057A1"/>
    <w:rsid w:val="00112D02"/>
    <w:rsid w:val="00130CE7"/>
    <w:rsid w:val="001778E6"/>
    <w:rsid w:val="00177FA4"/>
    <w:rsid w:val="001D370B"/>
    <w:rsid w:val="001F3018"/>
    <w:rsid w:val="002402C5"/>
    <w:rsid w:val="00243988"/>
    <w:rsid w:val="002B1174"/>
    <w:rsid w:val="002B7979"/>
    <w:rsid w:val="003C12D8"/>
    <w:rsid w:val="003C1E10"/>
    <w:rsid w:val="003E10C6"/>
    <w:rsid w:val="003E51AC"/>
    <w:rsid w:val="004011E7"/>
    <w:rsid w:val="00403C2C"/>
    <w:rsid w:val="00417E5D"/>
    <w:rsid w:val="00421381"/>
    <w:rsid w:val="004616F7"/>
    <w:rsid w:val="00473381"/>
    <w:rsid w:val="00487A47"/>
    <w:rsid w:val="00491008"/>
    <w:rsid w:val="00492759"/>
    <w:rsid w:val="004A0F1B"/>
    <w:rsid w:val="004D6FFC"/>
    <w:rsid w:val="004F00C4"/>
    <w:rsid w:val="004F5BD7"/>
    <w:rsid w:val="005059A2"/>
    <w:rsid w:val="005156E4"/>
    <w:rsid w:val="00536EB5"/>
    <w:rsid w:val="00560C4B"/>
    <w:rsid w:val="0057109B"/>
    <w:rsid w:val="00575E88"/>
    <w:rsid w:val="00642712"/>
    <w:rsid w:val="00697D95"/>
    <w:rsid w:val="006B08FA"/>
    <w:rsid w:val="00702D68"/>
    <w:rsid w:val="00702E98"/>
    <w:rsid w:val="00705A72"/>
    <w:rsid w:val="007102AB"/>
    <w:rsid w:val="007251D6"/>
    <w:rsid w:val="007638D5"/>
    <w:rsid w:val="007A221F"/>
    <w:rsid w:val="007A4A2F"/>
    <w:rsid w:val="007B23F1"/>
    <w:rsid w:val="00833F43"/>
    <w:rsid w:val="00840A5E"/>
    <w:rsid w:val="00893F8D"/>
    <w:rsid w:val="008B1D6A"/>
    <w:rsid w:val="008B1E41"/>
    <w:rsid w:val="008E16E0"/>
    <w:rsid w:val="008F3064"/>
    <w:rsid w:val="00910FFE"/>
    <w:rsid w:val="0091597E"/>
    <w:rsid w:val="009609D2"/>
    <w:rsid w:val="00977623"/>
    <w:rsid w:val="009838F4"/>
    <w:rsid w:val="00984AAB"/>
    <w:rsid w:val="009A0555"/>
    <w:rsid w:val="009A3E3C"/>
    <w:rsid w:val="009C5C4A"/>
    <w:rsid w:val="009C6F38"/>
    <w:rsid w:val="009E69C1"/>
    <w:rsid w:val="00A205D5"/>
    <w:rsid w:val="00A32C1B"/>
    <w:rsid w:val="00A731B8"/>
    <w:rsid w:val="00A75058"/>
    <w:rsid w:val="00A815D1"/>
    <w:rsid w:val="00A87C27"/>
    <w:rsid w:val="00AA4CE4"/>
    <w:rsid w:val="00AD22A7"/>
    <w:rsid w:val="00AE56EC"/>
    <w:rsid w:val="00AE64C4"/>
    <w:rsid w:val="00AF0747"/>
    <w:rsid w:val="00B173C3"/>
    <w:rsid w:val="00B24390"/>
    <w:rsid w:val="00B90BB0"/>
    <w:rsid w:val="00BC2869"/>
    <w:rsid w:val="00BC3EDD"/>
    <w:rsid w:val="00BD1A37"/>
    <w:rsid w:val="00BE2372"/>
    <w:rsid w:val="00BE4ABE"/>
    <w:rsid w:val="00C578C7"/>
    <w:rsid w:val="00C734BD"/>
    <w:rsid w:val="00C80681"/>
    <w:rsid w:val="00CB5C0C"/>
    <w:rsid w:val="00D23BEF"/>
    <w:rsid w:val="00D57DBB"/>
    <w:rsid w:val="00D725A6"/>
    <w:rsid w:val="00E26BF4"/>
    <w:rsid w:val="00E30249"/>
    <w:rsid w:val="00E30F2F"/>
    <w:rsid w:val="00E7306E"/>
    <w:rsid w:val="00F262AF"/>
    <w:rsid w:val="00F300D7"/>
    <w:rsid w:val="00F608B8"/>
    <w:rsid w:val="00F66571"/>
    <w:rsid w:val="00F721A9"/>
    <w:rsid w:val="00F947C7"/>
    <w:rsid w:val="00FC579E"/>
    <w:rsid w:val="00FC67EF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bh.nv.gov/Programs/HIV-Ryan/Eligibil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tohealthcare.org/services-individual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473</Words>
  <Characters>2699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jdawley</cp:lastModifiedBy>
  <cp:revision>5</cp:revision>
  <cp:lastPrinted>2016-08-11T20:41:00Z</cp:lastPrinted>
  <dcterms:created xsi:type="dcterms:W3CDTF">2016-10-24T17:12:00Z</dcterms:created>
  <dcterms:modified xsi:type="dcterms:W3CDTF">2016-10-24T17:35:00Z</dcterms:modified>
</cp:coreProperties>
</file>