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4F4E9F"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CB5C0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Aging and Disability Services Division</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854A12" w:rsidP="00E30249">
      <w:pPr>
        <w:spacing w:before="240"/>
        <w:jc w:val="center"/>
        <w:rPr>
          <w:b/>
          <w:sz w:val="28"/>
          <w:szCs w:val="28"/>
        </w:rPr>
      </w:pPr>
      <w:r w:rsidRPr="00854A12">
        <w:rPr>
          <w:b/>
          <w:sz w:val="28"/>
          <w:szCs w:val="28"/>
        </w:rPr>
        <w:t>PERSONAL ASSISTANCE SERVICES PROGRAM (PAS)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854A12" w:rsidP="00702D68">
      <w:pPr>
        <w:pStyle w:val="NoSpacing"/>
        <w:spacing w:after="240"/>
        <w:rPr>
          <w:rFonts w:ascii="Calibri" w:hAnsi="Calibri" w:cs="Arial"/>
        </w:rPr>
      </w:pPr>
      <w:r w:rsidRPr="00854A12">
        <w:rPr>
          <w:rFonts w:ascii="Calibri" w:hAnsi="Calibri" w:cs="Arial"/>
        </w:rPr>
        <w:t>Provide community-based, in home services to enable adults with severe physical disabilities to remain in their homes and avoid placement in a long-term care facilities.</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854A12" w:rsidP="00D23BEF">
      <w:pPr>
        <w:spacing w:after="0" w:line="240" w:lineRule="auto"/>
        <w:rPr>
          <w:rFonts w:ascii="Calibri" w:hAnsi="Calibri" w:cs="Arial"/>
        </w:rPr>
      </w:pPr>
      <w:r w:rsidRPr="00854A12">
        <w:rPr>
          <w:rFonts w:ascii="Calibri" w:hAnsi="Calibri" w:cs="Arial"/>
        </w:rPr>
        <w:t>Adult persons 18 years or older with severe physical disabilities at risk of being placed into a care facility</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854A12" w:rsidP="00BC2869">
      <w:pPr>
        <w:rPr>
          <w:rFonts w:ascii="Calibri" w:eastAsia="Times New Roman" w:hAnsi="Calibri" w:cs="Arial"/>
        </w:rPr>
      </w:pPr>
      <w:r w:rsidRPr="00854A12">
        <w:rPr>
          <w:rFonts w:ascii="Calibri" w:eastAsia="Times New Roman" w:hAnsi="Calibri" w:cs="Arial"/>
        </w:rPr>
        <w:t xml:space="preserve">Age 18 or older; diagnosed with physical disability that limits the ability to perform everyday activities; must be capable of supervising Person Care Assistant; financial </w:t>
      </w:r>
      <w:proofErr w:type="spellStart"/>
      <w:r w:rsidRPr="00854A12">
        <w:rPr>
          <w:rFonts w:ascii="Calibri" w:eastAsia="Times New Roman" w:hAnsi="Calibri" w:cs="Arial"/>
        </w:rPr>
        <w:t>eligibilty</w:t>
      </w:r>
      <w:proofErr w:type="spellEnd"/>
      <w:r w:rsidRPr="00854A12">
        <w:rPr>
          <w:rFonts w:ascii="Calibri" w:eastAsia="Times New Roman" w:hAnsi="Calibri" w:cs="Arial"/>
        </w:rPr>
        <w:t xml:space="preserve"> applies.</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8"/>
          <w:footerReference w:type="default" r:id="rId9"/>
          <w:pgSz w:w="12240" w:h="15840"/>
          <w:pgMar w:top="720" w:right="720" w:bottom="720" w:left="720" w:header="720" w:footer="720" w:gutter="0"/>
          <w:cols w:space="720"/>
          <w:docGrid w:linePitch="360"/>
        </w:sectPr>
      </w:pPr>
    </w:p>
    <w:p w:rsidR="008F3064" w:rsidRDefault="00854A12" w:rsidP="005156E4">
      <w:pPr>
        <w:pStyle w:val="ListParagraph"/>
        <w:numPr>
          <w:ilvl w:val="0"/>
          <w:numId w:val="19"/>
        </w:numPr>
        <w:autoSpaceDE w:val="0"/>
        <w:autoSpaceDN w:val="0"/>
        <w:adjustRightInd w:val="0"/>
        <w:spacing w:after="240"/>
        <w:rPr>
          <w:rFonts w:ascii="Calibri" w:hAnsi="Calibri" w:cs="Arial"/>
        </w:rPr>
      </w:pPr>
      <w:r w:rsidRPr="00854A12">
        <w:rPr>
          <w:rFonts w:ascii="Calibri" w:hAnsi="Calibri" w:cs="Arial"/>
          <w:b/>
        </w:rPr>
        <w:lastRenderedPageBreak/>
        <w:t>Case Management</w:t>
      </w:r>
      <w:r w:rsidRPr="00854A12">
        <w:rPr>
          <w:rFonts w:ascii="Calibri" w:hAnsi="Calibri" w:cs="Arial"/>
        </w:rPr>
        <w:t xml:space="preserve"> - Identifies resources and assists in locating and gaining access to waiver services as well as needed medical, social, educational, and other services regardless of the funding source.  Licensed social workers provide ongoing case management and regular contact with client/family.</w:t>
      </w:r>
    </w:p>
    <w:p w:rsidR="00854A12" w:rsidRDefault="00854A12" w:rsidP="005156E4">
      <w:pPr>
        <w:pStyle w:val="ListParagraph"/>
        <w:numPr>
          <w:ilvl w:val="0"/>
          <w:numId w:val="19"/>
        </w:numPr>
        <w:autoSpaceDE w:val="0"/>
        <w:autoSpaceDN w:val="0"/>
        <w:adjustRightInd w:val="0"/>
        <w:spacing w:after="240"/>
        <w:rPr>
          <w:rFonts w:ascii="Calibri" w:hAnsi="Calibri" w:cs="Arial"/>
        </w:rPr>
      </w:pPr>
      <w:r w:rsidRPr="00854A12">
        <w:rPr>
          <w:rFonts w:ascii="Calibri" w:hAnsi="Calibri" w:cs="Arial"/>
          <w:b/>
        </w:rPr>
        <w:t>Attendant Care</w:t>
      </w:r>
      <w:r w:rsidRPr="00854A12">
        <w:rPr>
          <w:rFonts w:ascii="Calibri" w:hAnsi="Calibri" w:cs="Arial"/>
        </w:rPr>
        <w:t xml:space="preserve"> - Personal care-requires maximum to dependent assistance with bathing, eating and toileting, grooming, eating, mobility, transferring and bed mobility.  Use of pro</w:t>
      </w:r>
      <w:r>
        <w:rPr>
          <w:rFonts w:ascii="Calibri" w:hAnsi="Calibri" w:cs="Arial"/>
        </w:rPr>
        <w:t>s</w:t>
      </w:r>
      <w:r w:rsidRPr="00854A12">
        <w:rPr>
          <w:rFonts w:ascii="Calibri" w:hAnsi="Calibri" w:cs="Arial"/>
        </w:rPr>
        <w:t>theses and other medical equipment.  Range of motion and other needs related to maintenance or personal hygiene.</w:t>
      </w:r>
    </w:p>
    <w:p w:rsidR="00854A12" w:rsidRDefault="00854A12" w:rsidP="005156E4">
      <w:pPr>
        <w:pStyle w:val="ListParagraph"/>
        <w:numPr>
          <w:ilvl w:val="0"/>
          <w:numId w:val="19"/>
        </w:numPr>
        <w:autoSpaceDE w:val="0"/>
        <w:autoSpaceDN w:val="0"/>
        <w:adjustRightInd w:val="0"/>
        <w:spacing w:after="240"/>
        <w:rPr>
          <w:rFonts w:ascii="Calibri" w:hAnsi="Calibri" w:cs="Arial"/>
        </w:rPr>
      </w:pPr>
      <w:r w:rsidRPr="00854A12">
        <w:rPr>
          <w:rFonts w:ascii="Calibri" w:hAnsi="Calibri" w:cs="Arial"/>
          <w:b/>
        </w:rPr>
        <w:t>Homemaker</w:t>
      </w:r>
      <w:r w:rsidRPr="00854A12">
        <w:rPr>
          <w:rFonts w:ascii="Calibri" w:hAnsi="Calibri" w:cs="Arial"/>
        </w:rPr>
        <w:t xml:space="preserve"> - Light housekeeping, meal preparation, laundry and shopping</w:t>
      </w:r>
    </w:p>
    <w:p w:rsidR="00854A12" w:rsidRDefault="00854A12" w:rsidP="005156E4">
      <w:pPr>
        <w:pStyle w:val="ListParagraph"/>
        <w:numPr>
          <w:ilvl w:val="0"/>
          <w:numId w:val="19"/>
        </w:numPr>
        <w:autoSpaceDE w:val="0"/>
        <w:autoSpaceDN w:val="0"/>
        <w:adjustRightInd w:val="0"/>
        <w:spacing w:after="240"/>
        <w:rPr>
          <w:rFonts w:ascii="Calibri" w:hAnsi="Calibri" w:cs="Arial"/>
        </w:rPr>
      </w:pPr>
      <w:r w:rsidRPr="00854A12">
        <w:rPr>
          <w:rFonts w:ascii="Calibri" w:hAnsi="Calibri" w:cs="Arial"/>
          <w:b/>
        </w:rPr>
        <w:t>Respite Care</w:t>
      </w:r>
      <w:r>
        <w:rPr>
          <w:rFonts w:ascii="Calibri" w:hAnsi="Calibri" w:cs="Arial"/>
        </w:rPr>
        <w:t xml:space="preserve"> </w:t>
      </w:r>
      <w:r w:rsidRPr="00854A12">
        <w:rPr>
          <w:rFonts w:ascii="Calibri" w:hAnsi="Calibri" w:cs="Arial"/>
        </w:rPr>
        <w:t>-</w:t>
      </w:r>
      <w:r>
        <w:rPr>
          <w:rFonts w:ascii="Calibri" w:hAnsi="Calibri" w:cs="Arial"/>
        </w:rPr>
        <w:t xml:space="preserve"> </w:t>
      </w:r>
      <w:r w:rsidRPr="00854A12">
        <w:rPr>
          <w:rFonts w:ascii="Calibri" w:hAnsi="Calibri" w:cs="Arial"/>
        </w:rPr>
        <w:t>Limited to 120 hours/year.  Short term basis for relief of primary caregiver.  May only occur in recipient's home or place of residence.  Respite can be completed hourly or per d</w:t>
      </w:r>
      <w:r>
        <w:rPr>
          <w:rFonts w:ascii="Calibri" w:hAnsi="Calibri" w:cs="Arial"/>
        </w:rPr>
        <w:t>iem-24 hour period not to excee</w:t>
      </w:r>
      <w:r w:rsidRPr="00854A12">
        <w:rPr>
          <w:rFonts w:ascii="Calibri" w:hAnsi="Calibri" w:cs="Arial"/>
        </w:rPr>
        <w:t>d $65.00 for payment and is dependent upon agency acceptance.</w:t>
      </w:r>
    </w:p>
    <w:p w:rsidR="00854A12" w:rsidRDefault="00854A12" w:rsidP="005156E4">
      <w:pPr>
        <w:pStyle w:val="ListParagraph"/>
        <w:numPr>
          <w:ilvl w:val="0"/>
          <w:numId w:val="19"/>
        </w:numPr>
        <w:autoSpaceDE w:val="0"/>
        <w:autoSpaceDN w:val="0"/>
        <w:adjustRightInd w:val="0"/>
        <w:spacing w:after="240"/>
        <w:rPr>
          <w:rFonts w:ascii="Calibri" w:hAnsi="Calibri" w:cs="Arial"/>
        </w:rPr>
      </w:pPr>
      <w:r w:rsidRPr="00854A12">
        <w:rPr>
          <w:rFonts w:ascii="Calibri" w:hAnsi="Calibri" w:cs="Arial"/>
          <w:b/>
        </w:rPr>
        <w:t>ISO (Intermediary Service Organization)</w:t>
      </w:r>
      <w:r w:rsidRPr="00854A12">
        <w:rPr>
          <w:rFonts w:ascii="Calibri" w:hAnsi="Calibri" w:cs="Arial"/>
        </w:rPr>
        <w:t xml:space="preserve"> </w:t>
      </w:r>
      <w:r>
        <w:rPr>
          <w:rFonts w:ascii="Calibri" w:hAnsi="Calibri" w:cs="Arial"/>
        </w:rPr>
        <w:t>-</w:t>
      </w:r>
      <w:r w:rsidRPr="00854A12">
        <w:rPr>
          <w:rFonts w:ascii="Calibri" w:hAnsi="Calibri" w:cs="Arial"/>
        </w:rPr>
        <w:t xml:space="preserve"> Services include skilled services by providers who have been trained by the clients physician. Individual must be capable of direct supervision of those providing attendant care and skilled by unskilled services.</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D23BEF" w:rsidP="0006393B">
      <w:pPr>
        <w:pStyle w:val="NoSpacing"/>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854A12" w:rsidP="007A4A2F">
      <w:pPr>
        <w:spacing w:line="240" w:lineRule="auto"/>
        <w:rPr>
          <w:szCs w:val="28"/>
        </w:rPr>
      </w:pPr>
      <w:r w:rsidRPr="00854A12">
        <w:rPr>
          <w:szCs w:val="28"/>
        </w:rPr>
        <w:t>Contact the Aging and Disability Services Division.</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854A12" w:rsidRPr="00854A12" w:rsidRDefault="00854A12" w:rsidP="00854A12">
            <w:pPr>
              <w:rPr>
                <w:rFonts w:ascii="Calibri" w:hAnsi="Calibri"/>
                <w:b/>
                <w:color w:val="000000"/>
              </w:rPr>
            </w:pPr>
            <w:r w:rsidRPr="00854A12">
              <w:rPr>
                <w:rFonts w:ascii="Calibri" w:hAnsi="Calibri"/>
                <w:b/>
                <w:color w:val="000000"/>
              </w:rPr>
              <w:t>Carson City</w:t>
            </w:r>
          </w:p>
          <w:p w:rsidR="00854A12" w:rsidRDefault="00854A12" w:rsidP="00854A12">
            <w:pPr>
              <w:rPr>
                <w:rFonts w:ascii="Calibri" w:hAnsi="Calibri"/>
                <w:color w:val="000000"/>
              </w:rPr>
            </w:pPr>
            <w:r>
              <w:rPr>
                <w:rFonts w:ascii="Calibri" w:hAnsi="Calibri"/>
                <w:color w:val="000000"/>
              </w:rPr>
              <w:t xml:space="preserve">3416 </w:t>
            </w:r>
            <w:proofErr w:type="spellStart"/>
            <w:r>
              <w:rPr>
                <w:rFonts w:ascii="Calibri" w:hAnsi="Calibri"/>
                <w:color w:val="000000"/>
              </w:rPr>
              <w:t>Goni</w:t>
            </w:r>
            <w:proofErr w:type="spellEnd"/>
            <w:r>
              <w:rPr>
                <w:rFonts w:ascii="Calibri" w:hAnsi="Calibri"/>
                <w:color w:val="000000"/>
              </w:rPr>
              <w:t xml:space="preserve"> Road, Suite D-132, Carson City, NV 89706</w:t>
            </w:r>
          </w:p>
          <w:p w:rsidR="00854A12" w:rsidRDefault="00854A12" w:rsidP="00854A12">
            <w:pPr>
              <w:rPr>
                <w:rFonts w:ascii="Calibri" w:hAnsi="Calibri"/>
                <w:color w:val="000000"/>
              </w:rPr>
            </w:pPr>
            <w:r>
              <w:rPr>
                <w:rFonts w:ascii="Calibri" w:hAnsi="Calibri"/>
                <w:color w:val="000000"/>
              </w:rPr>
              <w:t>(775) 687-4210</w:t>
            </w:r>
          </w:p>
          <w:p w:rsidR="007102AB" w:rsidRDefault="007102AB" w:rsidP="00F262AF">
            <w:pPr>
              <w:rPr>
                <w:rFonts w:ascii="Calibri" w:hAnsi="Calibri"/>
              </w:rPr>
            </w:pPr>
          </w:p>
        </w:tc>
        <w:tc>
          <w:tcPr>
            <w:tcW w:w="5508" w:type="dxa"/>
            <w:tcBorders>
              <w:top w:val="nil"/>
              <w:left w:val="nil"/>
              <w:bottom w:val="nil"/>
              <w:right w:val="nil"/>
            </w:tcBorders>
          </w:tcPr>
          <w:p w:rsidR="00854A12" w:rsidRPr="00854A12" w:rsidRDefault="00854A12" w:rsidP="00854A12">
            <w:pPr>
              <w:rPr>
                <w:rFonts w:ascii="Calibri" w:hAnsi="Calibri"/>
                <w:b/>
                <w:color w:val="000000"/>
              </w:rPr>
            </w:pPr>
            <w:r w:rsidRPr="00854A12">
              <w:rPr>
                <w:rFonts w:ascii="Calibri" w:hAnsi="Calibri"/>
                <w:b/>
                <w:color w:val="000000"/>
              </w:rPr>
              <w:t>Las Vegas</w:t>
            </w:r>
          </w:p>
          <w:p w:rsidR="00854A12" w:rsidRDefault="00854A12" w:rsidP="00854A12">
            <w:pPr>
              <w:rPr>
                <w:rFonts w:ascii="Calibri" w:hAnsi="Calibri"/>
                <w:color w:val="000000"/>
              </w:rPr>
            </w:pPr>
            <w:r>
              <w:rPr>
                <w:rFonts w:ascii="Calibri" w:hAnsi="Calibri"/>
                <w:color w:val="000000"/>
              </w:rPr>
              <w:t>1860 East Sahara Avenue, Las Vegas, NV 89104</w:t>
            </w:r>
          </w:p>
          <w:p w:rsidR="007102AB" w:rsidRDefault="00854A12" w:rsidP="00F262AF">
            <w:pPr>
              <w:rPr>
                <w:rFonts w:ascii="Calibri" w:hAnsi="Calibri"/>
              </w:rPr>
            </w:pPr>
            <w:r>
              <w:rPr>
                <w:rFonts w:ascii="Calibri" w:hAnsi="Calibri"/>
                <w:color w:val="000000"/>
              </w:rPr>
              <w:t>(702) 486-3545</w:t>
            </w:r>
          </w:p>
          <w:p w:rsidR="007102AB" w:rsidRDefault="007102AB" w:rsidP="00F262AF">
            <w:pPr>
              <w:rPr>
                <w:rFonts w:ascii="Calibri" w:hAnsi="Calibri"/>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854A12" w:rsidRPr="00854A12" w:rsidRDefault="00854A12" w:rsidP="00854A12">
            <w:pPr>
              <w:rPr>
                <w:rFonts w:ascii="Calibri" w:hAnsi="Calibri"/>
                <w:b/>
                <w:color w:val="000000"/>
              </w:rPr>
            </w:pPr>
            <w:r w:rsidRPr="00854A12">
              <w:rPr>
                <w:rFonts w:ascii="Calibri" w:hAnsi="Calibri"/>
                <w:b/>
                <w:color w:val="000000"/>
              </w:rPr>
              <w:t>Reno</w:t>
            </w:r>
          </w:p>
          <w:p w:rsidR="00854A12" w:rsidRDefault="00854A12" w:rsidP="00854A12">
            <w:pPr>
              <w:rPr>
                <w:rFonts w:ascii="Calibri" w:hAnsi="Calibri"/>
                <w:color w:val="000000"/>
              </w:rPr>
            </w:pPr>
            <w:r>
              <w:rPr>
                <w:rFonts w:ascii="Calibri" w:hAnsi="Calibri"/>
                <w:color w:val="000000"/>
              </w:rPr>
              <w:t>9670 Gateway Drive, Suite 200, Reno, NV 89521</w:t>
            </w:r>
          </w:p>
          <w:p w:rsidR="007102AB" w:rsidRDefault="00854A12" w:rsidP="00854A12">
            <w:pPr>
              <w:rPr>
                <w:rFonts w:ascii="Calibri" w:hAnsi="Calibri"/>
              </w:rPr>
            </w:pPr>
            <w:r>
              <w:rPr>
                <w:rFonts w:ascii="Calibri" w:hAnsi="Calibri"/>
                <w:color w:val="000000"/>
              </w:rPr>
              <w:t>(775) 688-2964</w:t>
            </w:r>
          </w:p>
        </w:tc>
        <w:tc>
          <w:tcPr>
            <w:tcW w:w="5508" w:type="dxa"/>
            <w:tcBorders>
              <w:top w:val="nil"/>
              <w:left w:val="nil"/>
              <w:bottom w:val="nil"/>
              <w:right w:val="nil"/>
            </w:tcBorders>
          </w:tcPr>
          <w:p w:rsidR="00854A12" w:rsidRPr="00854A12" w:rsidRDefault="00854A12" w:rsidP="00854A12">
            <w:pPr>
              <w:rPr>
                <w:rFonts w:ascii="Calibri" w:hAnsi="Calibri"/>
                <w:b/>
                <w:color w:val="000000"/>
              </w:rPr>
            </w:pPr>
            <w:r w:rsidRPr="00854A12">
              <w:rPr>
                <w:rFonts w:ascii="Calibri" w:hAnsi="Calibri"/>
                <w:b/>
                <w:color w:val="000000"/>
              </w:rPr>
              <w:t>Elko</w:t>
            </w:r>
          </w:p>
          <w:p w:rsidR="00854A12" w:rsidRDefault="00854A12" w:rsidP="00854A12">
            <w:pPr>
              <w:rPr>
                <w:rFonts w:ascii="Calibri" w:hAnsi="Calibri"/>
                <w:color w:val="000000"/>
              </w:rPr>
            </w:pPr>
            <w:r>
              <w:rPr>
                <w:rFonts w:ascii="Calibri" w:hAnsi="Calibri"/>
                <w:color w:val="000000"/>
              </w:rPr>
              <w:t>1010 Ruby Vista Drive, Suite 104, Elko, NV 89801</w:t>
            </w:r>
          </w:p>
          <w:p w:rsidR="007102AB" w:rsidRDefault="00854A12" w:rsidP="00854A12">
            <w:pPr>
              <w:rPr>
                <w:rFonts w:ascii="Calibri" w:hAnsi="Calibri"/>
              </w:rPr>
            </w:pPr>
            <w:r>
              <w:rPr>
                <w:rFonts w:ascii="Calibri" w:hAnsi="Calibri"/>
                <w:color w:val="000000"/>
              </w:rPr>
              <w:t>(775) 738-1966</w:t>
            </w: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25"/>
        <w:gridCol w:w="5191"/>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854A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825" w:type="dxa"/>
            <w:tcBorders>
              <w:top w:val="nil"/>
              <w:left w:val="nil"/>
              <w:bottom w:val="nil"/>
              <w:right w:val="nil"/>
            </w:tcBorders>
          </w:tcPr>
          <w:p w:rsidR="00705A72" w:rsidRPr="00854A12" w:rsidRDefault="00854A12" w:rsidP="00705A72">
            <w:pPr>
              <w:rPr>
                <w:rFonts w:ascii="Calibri" w:hAnsi="Calibri"/>
                <w:color w:val="0000FF"/>
                <w:u w:val="single"/>
              </w:rPr>
            </w:pPr>
            <w:hyperlink r:id="rId10" w:history="1">
              <w:r>
                <w:rPr>
                  <w:rStyle w:val="Hyperlink"/>
                  <w:rFonts w:ascii="Calibri" w:hAnsi="Calibri"/>
                </w:rPr>
                <w:t xml:space="preserve">http://adsd.nv.gov/Programs/Seniors/PersAsstSvcs/PAS_Prog/ </w:t>
              </w:r>
            </w:hyperlink>
          </w:p>
        </w:tc>
        <w:tc>
          <w:tcPr>
            <w:tcW w:w="5191"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854A12">
        <w:rPr>
          <w:rFonts w:ascii="Calibri" w:hAnsi="Calibri"/>
          <w:i/>
          <w:sz w:val="18"/>
        </w:rPr>
        <w:t>5/27/16 EK</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0C" w:rsidRDefault="00CB5C0C" w:rsidP="00491008">
      <w:pPr>
        <w:spacing w:after="0" w:line="240" w:lineRule="auto"/>
      </w:pPr>
      <w:r>
        <w:separator/>
      </w:r>
    </w:p>
  </w:endnote>
  <w:endnote w:type="continuationSeparator" w:id="1">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4F4E9F">
        <w:pPr>
          <w:pStyle w:val="Footer"/>
          <w:jc w:val="center"/>
        </w:pPr>
        <w:fldSimple w:instr=" PAGE   \* MERGEFORMAT ">
          <w:r w:rsidR="00CB4E20">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0C" w:rsidRDefault="00CB5C0C" w:rsidP="00491008">
      <w:pPr>
        <w:spacing w:after="0" w:line="240" w:lineRule="auto"/>
      </w:pPr>
      <w:r>
        <w:separator/>
      </w:r>
    </w:p>
  </w:footnote>
  <w:footnote w:type="continuationSeparator" w:id="1">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m2Z7nrIt5PbIPWsK7/lRCswoIYU=" w:salt="NQyQ52htH9dPK7iexjsKK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D370B"/>
    <w:rsid w:val="002402C5"/>
    <w:rsid w:val="00243988"/>
    <w:rsid w:val="002B7979"/>
    <w:rsid w:val="003C12D8"/>
    <w:rsid w:val="003C1E10"/>
    <w:rsid w:val="003E10C6"/>
    <w:rsid w:val="003E51AC"/>
    <w:rsid w:val="004011E7"/>
    <w:rsid w:val="00403074"/>
    <w:rsid w:val="00403C2C"/>
    <w:rsid w:val="00417E5D"/>
    <w:rsid w:val="00421381"/>
    <w:rsid w:val="004616F7"/>
    <w:rsid w:val="00473381"/>
    <w:rsid w:val="00487A47"/>
    <w:rsid w:val="00491008"/>
    <w:rsid w:val="00492759"/>
    <w:rsid w:val="004D6FFC"/>
    <w:rsid w:val="004F4E9F"/>
    <w:rsid w:val="004F5BD7"/>
    <w:rsid w:val="005059A2"/>
    <w:rsid w:val="005156E4"/>
    <w:rsid w:val="00536EB5"/>
    <w:rsid w:val="00560C4B"/>
    <w:rsid w:val="0057109B"/>
    <w:rsid w:val="00575E88"/>
    <w:rsid w:val="00642712"/>
    <w:rsid w:val="00697D95"/>
    <w:rsid w:val="006B08FA"/>
    <w:rsid w:val="00702D68"/>
    <w:rsid w:val="00702E98"/>
    <w:rsid w:val="00705A72"/>
    <w:rsid w:val="007102AB"/>
    <w:rsid w:val="007251D6"/>
    <w:rsid w:val="007A221F"/>
    <w:rsid w:val="007A4A2F"/>
    <w:rsid w:val="007B23F1"/>
    <w:rsid w:val="00833F43"/>
    <w:rsid w:val="00840A5E"/>
    <w:rsid w:val="00854A12"/>
    <w:rsid w:val="00893F8D"/>
    <w:rsid w:val="008B1D6A"/>
    <w:rsid w:val="008B1E41"/>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C3EDD"/>
    <w:rsid w:val="00BD1A37"/>
    <w:rsid w:val="00BE2372"/>
    <w:rsid w:val="00C578C7"/>
    <w:rsid w:val="00C734BD"/>
    <w:rsid w:val="00C80681"/>
    <w:rsid w:val="00CB4E20"/>
    <w:rsid w:val="00CB5C0C"/>
    <w:rsid w:val="00D23BEF"/>
    <w:rsid w:val="00D57DBB"/>
    <w:rsid w:val="00D725A6"/>
    <w:rsid w:val="00E26BF4"/>
    <w:rsid w:val="00E30249"/>
    <w:rsid w:val="00E30F2F"/>
    <w:rsid w:val="00E7306E"/>
    <w:rsid w:val="00F12BAB"/>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452401587">
      <w:bodyDiv w:val="1"/>
      <w:marLeft w:val="0"/>
      <w:marRight w:val="0"/>
      <w:marTop w:val="0"/>
      <w:marBottom w:val="0"/>
      <w:divBdr>
        <w:top w:val="none" w:sz="0" w:space="0" w:color="auto"/>
        <w:left w:val="none" w:sz="0" w:space="0" w:color="auto"/>
        <w:bottom w:val="none" w:sz="0" w:space="0" w:color="auto"/>
        <w:right w:val="none" w:sz="0" w:space="0" w:color="auto"/>
      </w:divBdr>
    </w:div>
    <w:div w:id="538200485">
      <w:bodyDiv w:val="1"/>
      <w:marLeft w:val="0"/>
      <w:marRight w:val="0"/>
      <w:marTop w:val="0"/>
      <w:marBottom w:val="0"/>
      <w:divBdr>
        <w:top w:val="none" w:sz="0" w:space="0" w:color="auto"/>
        <w:left w:val="none" w:sz="0" w:space="0" w:color="auto"/>
        <w:bottom w:val="none" w:sz="0" w:space="0" w:color="auto"/>
        <w:right w:val="none" w:sz="0" w:space="0" w:color="auto"/>
      </w:divBdr>
    </w:div>
    <w:div w:id="545408316">
      <w:bodyDiv w:val="1"/>
      <w:marLeft w:val="0"/>
      <w:marRight w:val="0"/>
      <w:marTop w:val="0"/>
      <w:marBottom w:val="0"/>
      <w:divBdr>
        <w:top w:val="none" w:sz="0" w:space="0" w:color="auto"/>
        <w:left w:val="none" w:sz="0" w:space="0" w:color="auto"/>
        <w:bottom w:val="none" w:sz="0" w:space="0" w:color="auto"/>
        <w:right w:val="none" w:sz="0" w:space="0" w:color="auto"/>
      </w:divBdr>
    </w:div>
    <w:div w:id="637344521">
      <w:bodyDiv w:val="1"/>
      <w:marLeft w:val="0"/>
      <w:marRight w:val="0"/>
      <w:marTop w:val="0"/>
      <w:marBottom w:val="0"/>
      <w:divBdr>
        <w:top w:val="none" w:sz="0" w:space="0" w:color="auto"/>
        <w:left w:val="none" w:sz="0" w:space="0" w:color="auto"/>
        <w:bottom w:val="none" w:sz="0" w:space="0" w:color="auto"/>
        <w:right w:val="none" w:sz="0" w:space="0" w:color="auto"/>
      </w:divBdr>
    </w:div>
    <w:div w:id="665596760">
      <w:bodyDiv w:val="1"/>
      <w:marLeft w:val="0"/>
      <w:marRight w:val="0"/>
      <w:marTop w:val="0"/>
      <w:marBottom w:val="0"/>
      <w:divBdr>
        <w:top w:val="none" w:sz="0" w:space="0" w:color="auto"/>
        <w:left w:val="none" w:sz="0" w:space="0" w:color="auto"/>
        <w:bottom w:val="none" w:sz="0" w:space="0" w:color="auto"/>
        <w:right w:val="none" w:sz="0" w:space="0" w:color="auto"/>
      </w:divBdr>
    </w:div>
    <w:div w:id="878857547">
      <w:bodyDiv w:val="1"/>
      <w:marLeft w:val="0"/>
      <w:marRight w:val="0"/>
      <w:marTop w:val="0"/>
      <w:marBottom w:val="0"/>
      <w:divBdr>
        <w:top w:val="none" w:sz="0" w:space="0" w:color="auto"/>
        <w:left w:val="none" w:sz="0" w:space="0" w:color="auto"/>
        <w:bottom w:val="none" w:sz="0" w:space="0" w:color="auto"/>
        <w:right w:val="none" w:sz="0" w:space="0" w:color="auto"/>
      </w:divBdr>
    </w:div>
    <w:div w:id="1040472841">
      <w:bodyDiv w:val="1"/>
      <w:marLeft w:val="0"/>
      <w:marRight w:val="0"/>
      <w:marTop w:val="0"/>
      <w:marBottom w:val="0"/>
      <w:divBdr>
        <w:top w:val="none" w:sz="0" w:space="0" w:color="auto"/>
        <w:left w:val="none" w:sz="0" w:space="0" w:color="auto"/>
        <w:bottom w:val="none" w:sz="0" w:space="0" w:color="auto"/>
        <w:right w:val="none" w:sz="0" w:space="0" w:color="auto"/>
      </w:divBdr>
    </w:div>
    <w:div w:id="1202131678">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356231773">
      <w:bodyDiv w:val="1"/>
      <w:marLeft w:val="0"/>
      <w:marRight w:val="0"/>
      <w:marTop w:val="0"/>
      <w:marBottom w:val="0"/>
      <w:divBdr>
        <w:top w:val="none" w:sz="0" w:space="0" w:color="auto"/>
        <w:left w:val="none" w:sz="0" w:space="0" w:color="auto"/>
        <w:bottom w:val="none" w:sz="0" w:space="0" w:color="auto"/>
        <w:right w:val="none" w:sz="0" w:space="0" w:color="auto"/>
      </w:divBdr>
    </w:div>
    <w:div w:id="1561744368">
      <w:bodyDiv w:val="1"/>
      <w:marLeft w:val="0"/>
      <w:marRight w:val="0"/>
      <w:marTop w:val="0"/>
      <w:marBottom w:val="0"/>
      <w:divBdr>
        <w:top w:val="none" w:sz="0" w:space="0" w:color="auto"/>
        <w:left w:val="none" w:sz="0" w:space="0" w:color="auto"/>
        <w:bottom w:val="none" w:sz="0" w:space="0" w:color="auto"/>
        <w:right w:val="none" w:sz="0" w:space="0" w:color="auto"/>
      </w:divBdr>
    </w:div>
    <w:div w:id="1811359410">
      <w:bodyDiv w:val="1"/>
      <w:marLeft w:val="0"/>
      <w:marRight w:val="0"/>
      <w:marTop w:val="0"/>
      <w:marBottom w:val="0"/>
      <w:divBdr>
        <w:top w:val="none" w:sz="0" w:space="0" w:color="auto"/>
        <w:left w:val="none" w:sz="0" w:space="0" w:color="auto"/>
        <w:bottom w:val="none" w:sz="0" w:space="0" w:color="auto"/>
        <w:right w:val="none" w:sz="0" w:space="0" w:color="auto"/>
      </w:divBdr>
    </w:div>
    <w:div w:id="1911115995">
      <w:bodyDiv w:val="1"/>
      <w:marLeft w:val="0"/>
      <w:marRight w:val="0"/>
      <w:marTop w:val="0"/>
      <w:marBottom w:val="0"/>
      <w:divBdr>
        <w:top w:val="none" w:sz="0" w:space="0" w:color="auto"/>
        <w:left w:val="none" w:sz="0" w:space="0" w:color="auto"/>
        <w:bottom w:val="none" w:sz="0" w:space="0" w:color="auto"/>
        <w:right w:val="none" w:sz="0" w:space="0" w:color="auto"/>
      </w:divBdr>
    </w:div>
    <w:div w:id="21059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sd.nv.gov/Programs/Seniors/PersAsstSvcs/PAS_Pro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Jake Dawley</cp:lastModifiedBy>
  <cp:revision>2</cp:revision>
  <cp:lastPrinted>2016-08-11T20:41:00Z</cp:lastPrinted>
  <dcterms:created xsi:type="dcterms:W3CDTF">2016-08-18T15:59:00Z</dcterms:created>
  <dcterms:modified xsi:type="dcterms:W3CDTF">2016-08-18T15:59:00Z</dcterms:modified>
</cp:coreProperties>
</file>