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page" w:tblpX="1" w:tblpY="1"/>
        <w:tblW w:w="12358" w:type="dxa"/>
        <w:tblLook w:val="04A0"/>
      </w:tblPr>
      <w:tblGrid>
        <w:gridCol w:w="12358"/>
      </w:tblGrid>
      <w:tr w:rsidR="00A205D5" w:rsidTr="00E30F2F">
        <w:trPr>
          <w:trHeight w:val="1880"/>
        </w:trPr>
        <w:tc>
          <w:tcPr>
            <w:tcW w:w="12358" w:type="dxa"/>
            <w:shd w:val="clear" w:color="auto" w:fill="548DD4" w:themeFill="text2" w:themeFillTint="99"/>
          </w:tcPr>
          <w:p w:rsidR="00A205D5" w:rsidRDefault="000C670F" w:rsidP="00130CE7">
            <w:pPr>
              <w:ind w:firstLine="270"/>
            </w:pPr>
            <w:r>
              <w:rPr>
                <w:noProof/>
              </w:rPr>
              <w:pict>
                <v:shapetype id="_x0000_t202" coordsize="21600,21600" o:spt="202" path="m,l,21600r21600,l21600,xe">
                  <v:stroke joinstyle="miter"/>
                  <v:path gradientshapeok="t" o:connecttype="rect"/>
                </v:shapetype>
                <v:shape id="_x0000_s1027" type="#_x0000_t202" style="position:absolute;left:0;text-align:left;margin-left:135.75pt;margin-top:18.5pt;width:237.25pt;height:68.55pt;z-index:251659264" fillcolor="#548dd4 [1951]" stroked="f">
                  <v:textbox style="mso-next-textbox:#_x0000_s1027">
                    <w:txbxContent>
                      <w:p w:rsidR="007472A3" w:rsidRPr="00130CE7" w:rsidRDefault="007472A3" w:rsidP="00130CE7">
                        <w:pPr>
                          <w:rPr>
                            <w:rFonts w:ascii="Bookman Old Style" w:hAnsi="Bookman Old Style"/>
                            <w:b/>
                            <w:i/>
                            <w:color w:val="FFFFFF" w:themeColor="background1"/>
                            <w:sz w:val="18"/>
                            <w:szCs w:val="18"/>
                          </w:rPr>
                        </w:pPr>
                        <w:r w:rsidRPr="00130CE7">
                          <w:rPr>
                            <w:rFonts w:ascii="Bookman Old Style" w:hAnsi="Bookman Old Style"/>
                            <w:b/>
                            <w:i/>
                            <w:color w:val="FFFFFF" w:themeColor="background1"/>
                            <w:sz w:val="18"/>
                            <w:szCs w:val="18"/>
                          </w:rPr>
                          <w:t>State of Nevada</w:t>
                        </w:r>
                      </w:p>
                      <w:p w:rsidR="007472A3" w:rsidRDefault="007472A3" w:rsidP="00702D68">
                        <w:pPr>
                          <w:rPr>
                            <w:rFonts w:ascii="Bookman Old Style" w:hAnsi="Bookman Old Style"/>
                            <w:b/>
                            <w:i/>
                            <w:color w:val="FFFFFF" w:themeColor="background1"/>
                            <w:sz w:val="18"/>
                            <w:szCs w:val="18"/>
                          </w:rPr>
                        </w:pPr>
                        <w:r w:rsidRPr="00130CE7">
                          <w:rPr>
                            <w:rFonts w:ascii="Bookman Old Style" w:hAnsi="Bookman Old Style"/>
                            <w:b/>
                            <w:i/>
                            <w:color w:val="FFFFFF" w:themeColor="background1"/>
                            <w:sz w:val="18"/>
                            <w:szCs w:val="18"/>
                          </w:rPr>
                          <w:t>Department of Health and Human Services</w:t>
                        </w:r>
                      </w:p>
                      <w:p w:rsidR="007472A3" w:rsidRPr="005156E4" w:rsidRDefault="007472A3" w:rsidP="005156E4">
                        <w:pPr>
                          <w:rPr>
                            <w:rFonts w:ascii="Bookman Old Style" w:hAnsi="Bookman Old Style"/>
                            <w:b/>
                            <w:i/>
                            <w:color w:val="FFFFFF" w:themeColor="background1"/>
                            <w:sz w:val="18"/>
                            <w:szCs w:val="18"/>
                          </w:rPr>
                        </w:pPr>
                        <w:r>
                          <w:rPr>
                            <w:rFonts w:ascii="Bookman Old Style" w:hAnsi="Bookman Old Style"/>
                            <w:b/>
                            <w:i/>
                            <w:color w:val="FFFFFF" w:themeColor="background1"/>
                            <w:sz w:val="18"/>
                            <w:szCs w:val="18"/>
                          </w:rPr>
                          <w:t>Division of Health Care Financing and Policy</w:t>
                        </w:r>
                      </w:p>
                      <w:p w:rsidR="007472A3" w:rsidRPr="00130CE7" w:rsidRDefault="007472A3">
                        <w:pPr>
                          <w:rPr>
                            <w:rFonts w:ascii="Bookman Old Style" w:hAnsi="Bookman Old Style"/>
                            <w:b/>
                            <w:i/>
                            <w:color w:val="FFFFFF" w:themeColor="background1"/>
                            <w:sz w:val="18"/>
                            <w:szCs w:val="18"/>
                          </w:rPr>
                        </w:pPr>
                        <w:r>
                          <w:rPr>
                            <w:rFonts w:ascii="Bookman Old Style" w:hAnsi="Bookman Old Style"/>
                            <w:b/>
                            <w:i/>
                            <w:color w:val="FFFFFF" w:themeColor="background1"/>
                            <w:sz w:val="18"/>
                            <w:szCs w:val="18"/>
                          </w:rPr>
                          <w:t>rt Division Here&gt;</w:t>
                        </w:r>
                      </w:p>
                      <w:p w:rsidR="007472A3" w:rsidRPr="00130CE7" w:rsidRDefault="007472A3">
                        <w:pPr>
                          <w:rPr>
                            <w:b/>
                            <w:i/>
                          </w:rPr>
                        </w:pPr>
                      </w:p>
                    </w:txbxContent>
                  </v:textbox>
                </v:shape>
              </w:pict>
            </w:r>
            <w:r>
              <w:rPr>
                <w:noProof/>
              </w:rPr>
              <w:pict>
                <v:shape id="_x0000_s1029" type="#_x0000_t202" style="position:absolute;left:0;text-align:left;margin-left:395.7pt;margin-top:11pt;width:106.7pt;height:33.2pt;z-index:251660288" fillcolor="#548dd4 [1951]" stroked="f">
                  <v:textbox>
                    <w:txbxContent>
                      <w:p w:rsidR="007472A3" w:rsidRPr="004E1A99" w:rsidRDefault="007472A3" w:rsidP="00A87C27">
                        <w:pPr>
                          <w:jc w:val="right"/>
                          <w:rPr>
                            <w:sz w:val="14"/>
                          </w:rPr>
                        </w:pPr>
                        <w:r w:rsidRPr="004E1A99">
                          <w:rPr>
                            <w:color w:val="FFFFFF" w:themeColor="background1"/>
                            <w:sz w:val="44"/>
                            <w:szCs w:val="72"/>
                          </w:rPr>
                          <w:t>Consumer</w:t>
                        </w:r>
                      </w:p>
                    </w:txbxContent>
                  </v:textbox>
                </v:shape>
              </w:pict>
            </w:r>
            <w:r>
              <w:rPr>
                <w:noProof/>
              </w:rPr>
              <w:pict>
                <v:shape id="_x0000_s1026" type="#_x0000_t202" style="position:absolute;left:0;text-align:left;margin-left:358.75pt;margin-top:31.05pt;width:226pt;height:50.7pt;z-index:251658240" fillcolor="#548dd4 [1951]" stroked="f">
                  <v:textbox>
                    <w:txbxContent>
                      <w:p w:rsidR="007472A3" w:rsidRPr="00A205D5" w:rsidRDefault="007472A3" w:rsidP="00A205D5">
                        <w:pPr>
                          <w:jc w:val="right"/>
                          <w:rPr>
                            <w:color w:val="FFFFFF" w:themeColor="background1"/>
                            <w:sz w:val="72"/>
                            <w:szCs w:val="72"/>
                          </w:rPr>
                        </w:pPr>
                        <w:r w:rsidRPr="00A205D5">
                          <w:rPr>
                            <w:color w:val="FFFFFF" w:themeColor="background1"/>
                            <w:sz w:val="72"/>
                            <w:szCs w:val="72"/>
                          </w:rPr>
                          <w:t>FACT SHEET</w:t>
                        </w:r>
                      </w:p>
                      <w:p w:rsidR="007472A3" w:rsidRDefault="007472A3"/>
                    </w:txbxContent>
                  </v:textbox>
                </v:shape>
              </w:pict>
            </w:r>
            <w:r w:rsidR="003E51AC">
              <w:rPr>
                <w:noProof/>
              </w:rPr>
              <w:drawing>
                <wp:inline distT="0" distB="0" distL="0" distR="0">
                  <wp:extent cx="1471105" cy="1104900"/>
                  <wp:effectExtent l="0" t="0" r="0" b="0"/>
                  <wp:docPr id="1" name="Picture 0" descr="NCC - white oval_bevel_shadow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 - white oval_bevel_shadow_transp.png"/>
                          <pic:cNvPicPr/>
                        </pic:nvPicPr>
                        <pic:blipFill>
                          <a:blip r:embed="rId7" cstate="print"/>
                          <a:srcRect l="-13017" t="-17778"/>
                          <a:stretch>
                            <a:fillRect/>
                          </a:stretch>
                        </pic:blipFill>
                        <pic:spPr>
                          <a:xfrm>
                            <a:off x="0" y="0"/>
                            <a:ext cx="1471105" cy="1104900"/>
                          </a:xfrm>
                          <a:prstGeom prst="rect">
                            <a:avLst/>
                          </a:prstGeom>
                        </pic:spPr>
                      </pic:pic>
                    </a:graphicData>
                  </a:graphic>
                </wp:inline>
              </w:drawing>
            </w:r>
          </w:p>
        </w:tc>
      </w:tr>
    </w:tbl>
    <w:p w:rsidR="00D57DBB" w:rsidRPr="00A2616D" w:rsidRDefault="007472A3" w:rsidP="00E30249">
      <w:pPr>
        <w:spacing w:before="240"/>
        <w:jc w:val="center"/>
        <w:rPr>
          <w:b/>
          <w:sz w:val="28"/>
          <w:szCs w:val="28"/>
        </w:rPr>
      </w:pPr>
      <w:r w:rsidRPr="007472A3">
        <w:rPr>
          <w:b/>
          <w:sz w:val="28"/>
          <w:szCs w:val="28"/>
        </w:rPr>
        <w:t>NEVADA MEDICAID - Personal Care Services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BFBFBF" w:themeFill="background1" w:themeFillShade="BF"/>
        <w:tblLook w:val="04A0"/>
      </w:tblPr>
      <w:tblGrid>
        <w:gridCol w:w="11016"/>
      </w:tblGrid>
      <w:tr w:rsidR="00F300D7" w:rsidRPr="00487A47" w:rsidTr="00130CE7">
        <w:tc>
          <w:tcPr>
            <w:tcW w:w="11016" w:type="dxa"/>
            <w:shd w:val="clear" w:color="auto" w:fill="BFBFBF" w:themeFill="background1" w:themeFillShade="BF"/>
          </w:tcPr>
          <w:p w:rsidR="00F300D7" w:rsidRPr="00487A47" w:rsidRDefault="003E10C6">
            <w:pPr>
              <w:rPr>
                <w:b/>
                <w:sz w:val="28"/>
                <w:szCs w:val="28"/>
              </w:rPr>
            </w:pPr>
            <w:r>
              <w:rPr>
                <w:b/>
                <w:sz w:val="28"/>
                <w:szCs w:val="28"/>
              </w:rPr>
              <w:t>P</w:t>
            </w:r>
            <w:r w:rsidR="00130CE7" w:rsidRPr="00487A47">
              <w:rPr>
                <w:b/>
                <w:sz w:val="28"/>
                <w:szCs w:val="28"/>
              </w:rPr>
              <w:t>urpose</w:t>
            </w:r>
          </w:p>
        </w:tc>
      </w:tr>
    </w:tbl>
    <w:p w:rsidR="00D57DBB" w:rsidRPr="005F4F09" w:rsidRDefault="005F4F09" w:rsidP="00702D68">
      <w:pPr>
        <w:pStyle w:val="NoSpacing"/>
        <w:spacing w:after="240"/>
      </w:pPr>
      <w:r>
        <w:t>This is an optional Nevada Medicaid State Plan benefit that is available to assist, support and maintain individuals living independently in their homes.</w:t>
      </w:r>
      <w:r w:rsidR="00084297" w:rsidRPr="00084297">
        <w:rPr>
          <w:rFonts w:ascii="Calibri" w:hAnsi="Calibri" w:cs="Arial"/>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BFBFBF" w:themeFill="background1" w:themeFillShade="BF"/>
        <w:tblLook w:val="04A0"/>
      </w:tblPr>
      <w:tblGrid>
        <w:gridCol w:w="11016"/>
      </w:tblGrid>
      <w:tr w:rsidR="00130CE7" w:rsidRPr="00487A47" w:rsidTr="00130CE7">
        <w:tc>
          <w:tcPr>
            <w:tcW w:w="11016" w:type="dxa"/>
            <w:shd w:val="clear" w:color="auto" w:fill="BFBFBF" w:themeFill="background1" w:themeFillShade="BF"/>
          </w:tcPr>
          <w:p w:rsidR="00130CE7" w:rsidRPr="00487A47" w:rsidRDefault="00130CE7">
            <w:pPr>
              <w:rPr>
                <w:b/>
                <w:sz w:val="28"/>
                <w:szCs w:val="28"/>
              </w:rPr>
            </w:pPr>
            <w:r w:rsidRPr="00487A47">
              <w:rPr>
                <w:b/>
                <w:sz w:val="28"/>
                <w:szCs w:val="28"/>
              </w:rPr>
              <w:t>Target Population</w:t>
            </w:r>
          </w:p>
        </w:tc>
      </w:tr>
    </w:tbl>
    <w:p w:rsidR="00D23BEF" w:rsidRPr="005F4F09" w:rsidRDefault="005F4F09" w:rsidP="005F4F09">
      <w:r>
        <w:t xml:space="preserve">Individuals with disabilities and chronic conditions of all ages that, in order to remain living independently in their homes, require assistance to enable the accomplishment of tasks they would normally do for themselves, if they did not have a disability or chronic condition, for example, hands-on assistance with the performance of Activities of Daily Living (ADLs) and Instrumental Activities of Daily Living (IADLs).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BFBFBF" w:themeFill="background1" w:themeFillShade="BF"/>
        <w:tblLook w:val="04A0"/>
      </w:tblPr>
      <w:tblGrid>
        <w:gridCol w:w="11016"/>
      </w:tblGrid>
      <w:tr w:rsidR="00130CE7" w:rsidRPr="00487A47" w:rsidTr="00130CE7">
        <w:tc>
          <w:tcPr>
            <w:tcW w:w="11016" w:type="dxa"/>
            <w:shd w:val="clear" w:color="auto" w:fill="BFBFBF" w:themeFill="background1" w:themeFillShade="BF"/>
          </w:tcPr>
          <w:p w:rsidR="00130CE7" w:rsidRPr="00487A47" w:rsidRDefault="00130CE7">
            <w:pPr>
              <w:rPr>
                <w:b/>
                <w:sz w:val="28"/>
                <w:szCs w:val="28"/>
              </w:rPr>
            </w:pPr>
            <w:r w:rsidRPr="00487A47">
              <w:rPr>
                <w:b/>
                <w:sz w:val="28"/>
                <w:szCs w:val="28"/>
              </w:rPr>
              <w:t>Eligibility</w:t>
            </w:r>
          </w:p>
        </w:tc>
      </w:tr>
    </w:tbl>
    <w:p w:rsidR="00AF0747" w:rsidRPr="005F4F09" w:rsidRDefault="005F4F09" w:rsidP="00BC2869">
      <w:r>
        <w:t xml:space="preserve">Recipient must have ongoing Medicaid or Nevada Check Up eligibility, not be institutionalized, have a medical necessity for the PCS, and not have a legally responsible individual who is available and capable of providing the necessary care. </w:t>
      </w: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tblPr>
      <w:tblGrid>
        <w:gridCol w:w="11016"/>
      </w:tblGrid>
      <w:tr w:rsidR="007A221F" w:rsidRPr="00086D98" w:rsidTr="005059A2">
        <w:trPr>
          <w:trHeight w:val="80"/>
        </w:trPr>
        <w:tc>
          <w:tcPr>
            <w:tcW w:w="11016" w:type="dxa"/>
            <w:shd w:val="clear" w:color="auto" w:fill="BFBFBF" w:themeFill="background1" w:themeFillShade="BF"/>
          </w:tcPr>
          <w:p w:rsidR="007A221F" w:rsidRPr="00086D98" w:rsidRDefault="007A221F">
            <w:pPr>
              <w:rPr>
                <w:b/>
              </w:rPr>
            </w:pPr>
            <w:r w:rsidRPr="00086D98">
              <w:rPr>
                <w:b/>
                <w:sz w:val="28"/>
              </w:rPr>
              <w:t>Services</w:t>
            </w:r>
          </w:p>
        </w:tc>
      </w:tr>
    </w:tbl>
    <w:p w:rsidR="00F608B8" w:rsidRPr="005156E4" w:rsidRDefault="00F608B8" w:rsidP="005156E4">
      <w:pPr>
        <w:ind w:left="360"/>
        <w:sectPr w:rsidR="00F608B8" w:rsidRPr="005156E4" w:rsidSect="00A205D5">
          <w:headerReference w:type="default" r:id="rId8"/>
          <w:footerReference w:type="default" r:id="rId9"/>
          <w:pgSz w:w="12240" w:h="15840"/>
          <w:pgMar w:top="720" w:right="720" w:bottom="720" w:left="720" w:header="720" w:footer="720" w:gutter="0"/>
          <w:cols w:space="720"/>
          <w:docGrid w:linePitch="360"/>
        </w:sectPr>
      </w:pPr>
    </w:p>
    <w:p w:rsidR="008F3064" w:rsidRDefault="00CB5C0C" w:rsidP="005F4F09">
      <w:pPr>
        <w:pStyle w:val="ListParagraph"/>
        <w:numPr>
          <w:ilvl w:val="0"/>
          <w:numId w:val="19"/>
        </w:numPr>
        <w:adjustRightInd w:val="0"/>
        <w:rPr>
          <w:rFonts w:ascii="Calibri" w:hAnsi="Calibri" w:cs="Arial"/>
        </w:rPr>
      </w:pPr>
      <w:r w:rsidRPr="00CB5C0C">
        <w:rPr>
          <w:rFonts w:ascii="Calibri" w:hAnsi="Calibri" w:cs="Arial"/>
        </w:rPr>
        <w:lastRenderedPageBreak/>
        <w:t xml:space="preserve">  </w:t>
      </w:r>
      <w:r w:rsidR="005F4F09" w:rsidRPr="005F4F09">
        <w:rPr>
          <w:rFonts w:ascii="Calibri" w:hAnsi="Calibri" w:cs="Arial"/>
        </w:rPr>
        <w:t>Services may include assistance with normal activities of daily living such as bathing, dressing, grooming, transferring/positioning, mobility/ambulation, and eating.  In some instances services may also include assistance with meal preparation, laundry, light housekeeping and essential shopping.   </w:t>
      </w:r>
    </w:p>
    <w:p w:rsidR="005F4F09" w:rsidRPr="005F4F09" w:rsidRDefault="005F4F09" w:rsidP="005F4F09">
      <w:pPr>
        <w:pStyle w:val="ListParagraph"/>
        <w:adjustRightInd w:val="0"/>
        <w:rPr>
          <w:rFonts w:ascii="Calibri" w:hAnsi="Calibri" w:cs="Arial"/>
        </w:rPr>
      </w:pPr>
    </w:p>
    <w:tbl>
      <w:tblPr>
        <w:tblStyle w:val="TableGrid"/>
        <w:tblW w:w="0" w:type="auto"/>
        <w:tblLook w:val="04A0"/>
      </w:tblPr>
      <w:tblGrid>
        <w:gridCol w:w="11016"/>
      </w:tblGrid>
      <w:tr w:rsidR="007A221F" w:rsidRPr="00487A47" w:rsidTr="007A221F">
        <w:tc>
          <w:tcPr>
            <w:tcW w:w="11016" w:type="dxa"/>
            <w:tcBorders>
              <w:top w:val="nil"/>
              <w:left w:val="nil"/>
              <w:bottom w:val="nil"/>
              <w:right w:val="nil"/>
            </w:tcBorders>
            <w:shd w:val="clear" w:color="auto" w:fill="BFBFBF" w:themeFill="background1" w:themeFillShade="BF"/>
          </w:tcPr>
          <w:p w:rsidR="007A221F" w:rsidRPr="00487A47" w:rsidRDefault="007A221F" w:rsidP="007A221F">
            <w:pPr>
              <w:rPr>
                <w:b/>
                <w:sz w:val="28"/>
                <w:szCs w:val="28"/>
              </w:rPr>
            </w:pPr>
            <w:r w:rsidRPr="00487A47">
              <w:rPr>
                <w:b/>
                <w:sz w:val="28"/>
                <w:szCs w:val="28"/>
              </w:rPr>
              <w:t>Program Policies and Procedures</w:t>
            </w:r>
          </w:p>
        </w:tc>
      </w:tr>
    </w:tbl>
    <w:p w:rsidR="00D23BEF" w:rsidRDefault="00084297" w:rsidP="0006393B">
      <w:pPr>
        <w:pStyle w:val="NoSpacing"/>
        <w:spacing w:after="240"/>
      </w:pPr>
      <w:r w:rsidRPr="00084297">
        <w:t xml:space="preserve">Services are based on the needs of the recipient being served, as determined by a Functional Assessment Service Plan.  Services are provided where appropriate, medically necessary and within service limitations when there is no Legally Responsible Individual (LRI) available and capable of providing the service.  An LRI may not be reimbursed for providing PCS.  For additional PCS policy and procedures go to:  </w:t>
      </w:r>
      <w:hyperlink r:id="rId10" w:history="1">
        <w:r w:rsidRPr="00E25F1A">
          <w:rPr>
            <w:rStyle w:val="Hyperlink"/>
          </w:rPr>
          <w:t>http://dhcfp.nv.gov/Resources/AdminSupport/Manuals/MSM/C3500/Chapter3500/</w:t>
        </w:r>
      </w:hyperlink>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tblPr>
      <w:tblGrid>
        <w:gridCol w:w="11016"/>
      </w:tblGrid>
      <w:tr w:rsidR="007A4A2F" w:rsidRPr="007A4A2F" w:rsidTr="007A4A2F">
        <w:tc>
          <w:tcPr>
            <w:tcW w:w="11016" w:type="dxa"/>
            <w:shd w:val="clear" w:color="auto" w:fill="BFBFBF" w:themeFill="background1" w:themeFillShade="BF"/>
          </w:tcPr>
          <w:p w:rsidR="007A4A2F" w:rsidRPr="007A4A2F" w:rsidRDefault="007A4A2F" w:rsidP="007A4A2F">
            <w:pPr>
              <w:rPr>
                <w:b/>
                <w:sz w:val="28"/>
                <w:szCs w:val="28"/>
              </w:rPr>
            </w:pPr>
            <w:r w:rsidRPr="007A4A2F">
              <w:rPr>
                <w:b/>
                <w:sz w:val="28"/>
                <w:szCs w:val="28"/>
              </w:rPr>
              <w:t>How to Apply</w:t>
            </w:r>
          </w:p>
        </w:tc>
      </w:tr>
    </w:tbl>
    <w:p w:rsidR="00B173C3" w:rsidRDefault="00702CBC" w:rsidP="00702CBC">
      <w:pPr>
        <w:rPr>
          <w:szCs w:val="28"/>
        </w:rPr>
      </w:pPr>
      <w:r w:rsidRPr="00702CBC">
        <w:t xml:space="preserve">Recipients requesting PCS for the first time may call </w:t>
      </w:r>
      <w:r w:rsidR="002B30CD">
        <w:t>DXC Technology Corporation</w:t>
      </w:r>
      <w:r w:rsidRPr="00702CBC">
        <w:t xml:space="preserve"> at (800) 525-2395, press option 1, then option 4. TTY Callers, please dial 7-1-1 for Relay Nevada, then request to be connected to (800) 525-2395, press option 1, then option 4. For additional information, please visit our website at: </w:t>
      </w:r>
      <w:hyperlink r:id="rId11" w:history="1">
        <w:r>
          <w:rPr>
            <w:rStyle w:val="Hyperlink"/>
          </w:rPr>
          <w:t>http://dhcfp.nv.gov/Pgms/LTSS/LTSSPCS/</w:t>
        </w:r>
      </w:hyperlink>
      <w:r w:rsidRPr="00702CBC">
        <w:rPr>
          <w:color w:val="1F497D"/>
        </w:rPr>
        <w:t>.</w:t>
      </w:r>
      <w:r w:rsidR="00CB5C0C" w:rsidRPr="00CB5C0C">
        <w:rPr>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F721A9" w:rsidRPr="00487A47" w:rsidTr="00B173C3">
        <w:tc>
          <w:tcPr>
            <w:tcW w:w="11016" w:type="dxa"/>
            <w:gridSpan w:val="2"/>
            <w:shd w:val="clear" w:color="auto" w:fill="BFBFBF" w:themeFill="background1" w:themeFillShade="BF"/>
          </w:tcPr>
          <w:p w:rsidR="00F721A9" w:rsidRPr="00487A47" w:rsidRDefault="00F721A9" w:rsidP="007A221F">
            <w:pPr>
              <w:rPr>
                <w:b/>
                <w:sz w:val="28"/>
                <w:szCs w:val="28"/>
              </w:rPr>
            </w:pPr>
            <w:r w:rsidRPr="00487A47">
              <w:rPr>
                <w:b/>
                <w:sz w:val="28"/>
                <w:szCs w:val="28"/>
              </w:rPr>
              <w:t>For Information</w:t>
            </w:r>
          </w:p>
        </w:tc>
      </w:tr>
      <w:tr w:rsidR="00084297" w:rsidTr="002E79A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1016" w:type="dxa"/>
            <w:gridSpan w:val="2"/>
            <w:tcBorders>
              <w:top w:val="nil"/>
              <w:left w:val="nil"/>
              <w:bottom w:val="nil"/>
              <w:right w:val="nil"/>
            </w:tcBorders>
          </w:tcPr>
          <w:p w:rsidR="00084297" w:rsidRDefault="00084297" w:rsidP="00084297">
            <w:pPr>
              <w:rPr>
                <w:rFonts w:ascii="Calibri" w:hAnsi="Calibri"/>
              </w:rPr>
            </w:pPr>
            <w:r w:rsidRPr="00084297">
              <w:rPr>
                <w:rFonts w:ascii="Calibri" w:hAnsi="Calibri"/>
              </w:rPr>
              <w:t>For additional information or questions you may contact any of the DHCFP District Offices.</w:t>
            </w:r>
          </w:p>
        </w:tc>
      </w:tr>
      <w:tr w:rsidR="00B173C3" w:rsidTr="00B173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508" w:type="dxa"/>
            <w:tcBorders>
              <w:top w:val="nil"/>
              <w:left w:val="nil"/>
              <w:bottom w:val="nil"/>
              <w:right w:val="nil"/>
            </w:tcBorders>
          </w:tcPr>
          <w:p w:rsidR="00084297" w:rsidRPr="00084297" w:rsidRDefault="00084297" w:rsidP="00084297">
            <w:pPr>
              <w:rPr>
                <w:rFonts w:ascii="Calibri" w:hAnsi="Calibri"/>
                <w:b/>
                <w:color w:val="000000"/>
              </w:rPr>
            </w:pPr>
            <w:r w:rsidRPr="00084297">
              <w:rPr>
                <w:rFonts w:ascii="Calibri" w:hAnsi="Calibri"/>
                <w:b/>
                <w:color w:val="000000"/>
              </w:rPr>
              <w:t>Carson City District Office</w:t>
            </w:r>
          </w:p>
          <w:p w:rsidR="00084297" w:rsidRDefault="00084297" w:rsidP="00084297">
            <w:pPr>
              <w:rPr>
                <w:rFonts w:ascii="Calibri" w:hAnsi="Calibri"/>
                <w:color w:val="000000"/>
              </w:rPr>
            </w:pPr>
            <w:r>
              <w:rPr>
                <w:rFonts w:ascii="Calibri" w:hAnsi="Calibri"/>
                <w:color w:val="000000"/>
              </w:rPr>
              <w:t>1100 E. William St. Ste. 118  Carson City, NV 89701</w:t>
            </w:r>
          </w:p>
          <w:p w:rsidR="00084297" w:rsidRDefault="00084297" w:rsidP="00084297">
            <w:pPr>
              <w:rPr>
                <w:rFonts w:ascii="Calibri" w:hAnsi="Calibri"/>
                <w:color w:val="000000"/>
              </w:rPr>
            </w:pPr>
            <w:r>
              <w:rPr>
                <w:rFonts w:ascii="Calibri" w:hAnsi="Calibri"/>
                <w:color w:val="000000"/>
              </w:rPr>
              <w:t>775-684-3651</w:t>
            </w:r>
          </w:p>
          <w:p w:rsidR="007102AB" w:rsidRDefault="007102AB" w:rsidP="00F262AF">
            <w:pPr>
              <w:rPr>
                <w:rFonts w:ascii="Calibri" w:hAnsi="Calibri"/>
              </w:rPr>
            </w:pPr>
          </w:p>
        </w:tc>
        <w:tc>
          <w:tcPr>
            <w:tcW w:w="5508" w:type="dxa"/>
            <w:tcBorders>
              <w:top w:val="nil"/>
              <w:left w:val="nil"/>
              <w:bottom w:val="nil"/>
              <w:right w:val="nil"/>
            </w:tcBorders>
          </w:tcPr>
          <w:p w:rsidR="00084297" w:rsidRPr="00084297" w:rsidRDefault="00084297" w:rsidP="00084297">
            <w:pPr>
              <w:rPr>
                <w:rFonts w:ascii="Calibri" w:hAnsi="Calibri"/>
                <w:b/>
                <w:color w:val="000000"/>
              </w:rPr>
            </w:pPr>
            <w:r w:rsidRPr="00084297">
              <w:rPr>
                <w:rFonts w:ascii="Calibri" w:hAnsi="Calibri"/>
                <w:b/>
                <w:color w:val="000000"/>
              </w:rPr>
              <w:t>Reno District Office</w:t>
            </w:r>
          </w:p>
          <w:p w:rsidR="00084297" w:rsidRDefault="00084297" w:rsidP="00084297">
            <w:pPr>
              <w:rPr>
                <w:rFonts w:ascii="Calibri" w:hAnsi="Calibri"/>
                <w:color w:val="000000"/>
              </w:rPr>
            </w:pPr>
            <w:r>
              <w:rPr>
                <w:rFonts w:ascii="Calibri" w:hAnsi="Calibri"/>
                <w:color w:val="000000"/>
              </w:rPr>
              <w:t>560 Hammill Lane  Reno, NV 89511</w:t>
            </w:r>
          </w:p>
          <w:p w:rsidR="007102AB" w:rsidRDefault="00084297" w:rsidP="00F262AF">
            <w:pPr>
              <w:rPr>
                <w:rFonts w:ascii="Calibri" w:hAnsi="Calibri"/>
              </w:rPr>
            </w:pPr>
            <w:r>
              <w:rPr>
                <w:rFonts w:ascii="Calibri" w:hAnsi="Calibri"/>
                <w:color w:val="000000"/>
              </w:rPr>
              <w:t>775-684-1900</w:t>
            </w:r>
          </w:p>
          <w:p w:rsidR="007102AB" w:rsidRDefault="007102AB" w:rsidP="00F262AF">
            <w:pPr>
              <w:rPr>
                <w:rFonts w:ascii="Calibri" w:hAnsi="Calibri"/>
              </w:rPr>
            </w:pPr>
          </w:p>
        </w:tc>
      </w:tr>
      <w:tr w:rsidR="005156E4" w:rsidTr="00B173C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508" w:type="dxa"/>
            <w:tcBorders>
              <w:top w:val="nil"/>
              <w:left w:val="nil"/>
              <w:bottom w:val="nil"/>
              <w:right w:val="nil"/>
            </w:tcBorders>
          </w:tcPr>
          <w:p w:rsidR="00084297" w:rsidRPr="00084297" w:rsidRDefault="00084297" w:rsidP="00084297">
            <w:pPr>
              <w:rPr>
                <w:rFonts w:ascii="Calibri" w:hAnsi="Calibri"/>
                <w:b/>
                <w:color w:val="000000"/>
              </w:rPr>
            </w:pPr>
            <w:r w:rsidRPr="00084297">
              <w:rPr>
                <w:rFonts w:ascii="Calibri" w:hAnsi="Calibri"/>
                <w:b/>
                <w:color w:val="000000"/>
              </w:rPr>
              <w:t>Elko District Office</w:t>
            </w:r>
          </w:p>
          <w:p w:rsidR="00084297" w:rsidRDefault="00084297" w:rsidP="00084297">
            <w:pPr>
              <w:rPr>
                <w:rFonts w:ascii="Calibri" w:hAnsi="Calibri"/>
                <w:color w:val="000000"/>
              </w:rPr>
            </w:pPr>
            <w:r>
              <w:rPr>
                <w:rFonts w:ascii="Calibri" w:hAnsi="Calibri"/>
                <w:color w:val="000000"/>
              </w:rPr>
              <w:t>1010 Ruby Vista Dr. Ste.103  Elko, NV 89801</w:t>
            </w:r>
          </w:p>
          <w:p w:rsidR="007102AB" w:rsidRPr="00084297" w:rsidRDefault="00084297" w:rsidP="00F262AF">
            <w:pPr>
              <w:rPr>
                <w:rFonts w:ascii="Calibri" w:hAnsi="Calibri"/>
                <w:color w:val="000000"/>
              </w:rPr>
            </w:pPr>
            <w:r>
              <w:rPr>
                <w:rFonts w:ascii="Calibri" w:hAnsi="Calibri"/>
                <w:color w:val="000000"/>
              </w:rPr>
              <w:t>775-753-1191</w:t>
            </w:r>
          </w:p>
        </w:tc>
        <w:tc>
          <w:tcPr>
            <w:tcW w:w="5508" w:type="dxa"/>
            <w:tcBorders>
              <w:top w:val="nil"/>
              <w:left w:val="nil"/>
              <w:bottom w:val="nil"/>
              <w:right w:val="nil"/>
            </w:tcBorders>
          </w:tcPr>
          <w:p w:rsidR="00084297" w:rsidRPr="00084297" w:rsidRDefault="00084297" w:rsidP="00084297">
            <w:pPr>
              <w:rPr>
                <w:rFonts w:ascii="Calibri" w:hAnsi="Calibri"/>
                <w:b/>
                <w:color w:val="000000"/>
              </w:rPr>
            </w:pPr>
            <w:r w:rsidRPr="00084297">
              <w:rPr>
                <w:rFonts w:ascii="Calibri" w:hAnsi="Calibri"/>
                <w:b/>
                <w:color w:val="000000"/>
              </w:rPr>
              <w:t>Las Vegas District Office</w:t>
            </w:r>
          </w:p>
          <w:p w:rsidR="00084297" w:rsidRDefault="00084297" w:rsidP="00084297">
            <w:pPr>
              <w:rPr>
                <w:rFonts w:ascii="Calibri" w:hAnsi="Calibri"/>
                <w:color w:val="000000"/>
              </w:rPr>
            </w:pPr>
            <w:r>
              <w:rPr>
                <w:rFonts w:ascii="Calibri" w:hAnsi="Calibri"/>
                <w:color w:val="000000"/>
              </w:rPr>
              <w:t>1210 S. Valley View, Ste. 104  Las Vegas, NV 89102</w:t>
            </w:r>
          </w:p>
          <w:p w:rsidR="007102AB" w:rsidRDefault="00084297" w:rsidP="00084297">
            <w:pPr>
              <w:rPr>
                <w:rFonts w:ascii="Calibri" w:hAnsi="Calibri"/>
                <w:color w:val="000000"/>
              </w:rPr>
            </w:pPr>
            <w:r>
              <w:rPr>
                <w:rFonts w:ascii="Calibri" w:hAnsi="Calibri"/>
                <w:color w:val="000000"/>
              </w:rPr>
              <w:t>702-668-4200</w:t>
            </w:r>
          </w:p>
          <w:p w:rsidR="00702CBC" w:rsidRDefault="00702CBC" w:rsidP="00084297">
            <w:pPr>
              <w:rPr>
                <w:rFonts w:ascii="Calibri" w:hAnsi="Calibri"/>
                <w:color w:val="000000"/>
              </w:rPr>
            </w:pPr>
          </w:p>
          <w:p w:rsidR="00702CBC" w:rsidRDefault="00702CBC" w:rsidP="00084297">
            <w:pPr>
              <w:rPr>
                <w:rFonts w:ascii="Calibri" w:hAnsi="Calibri"/>
                <w:color w:val="000000"/>
              </w:rPr>
            </w:pPr>
          </w:p>
          <w:p w:rsidR="00702CBC" w:rsidRDefault="00702CBC" w:rsidP="00084297">
            <w:pPr>
              <w:rPr>
                <w:rFonts w:ascii="Calibri" w:hAnsi="Calibri"/>
              </w:rPr>
            </w:pPr>
          </w:p>
        </w:tc>
      </w:tr>
    </w:tbl>
    <w:p w:rsidR="00F66571" w:rsidRDefault="00F66571" w:rsidP="00F262AF">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705A72" w:rsidRPr="00487A47" w:rsidTr="007472A3">
        <w:tc>
          <w:tcPr>
            <w:tcW w:w="11016" w:type="dxa"/>
            <w:gridSpan w:val="2"/>
            <w:shd w:val="clear" w:color="auto" w:fill="BFBFBF" w:themeFill="background1" w:themeFillShade="BF"/>
          </w:tcPr>
          <w:p w:rsidR="00705A72" w:rsidRPr="00705A72" w:rsidRDefault="00705A72" w:rsidP="00705A72">
            <w:pPr>
              <w:rPr>
                <w:b/>
              </w:rPr>
            </w:pPr>
            <w:r>
              <w:rPr>
                <w:b/>
                <w:sz w:val="28"/>
              </w:rPr>
              <w:t>Website</w:t>
            </w:r>
          </w:p>
        </w:tc>
      </w:tr>
      <w:tr w:rsidR="00705A72" w:rsidTr="00705A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15"/>
        </w:trPr>
        <w:tc>
          <w:tcPr>
            <w:tcW w:w="5508" w:type="dxa"/>
            <w:tcBorders>
              <w:top w:val="nil"/>
              <w:left w:val="nil"/>
              <w:bottom w:val="nil"/>
              <w:right w:val="nil"/>
            </w:tcBorders>
          </w:tcPr>
          <w:p w:rsidR="00084297" w:rsidRDefault="00084297" w:rsidP="00084297">
            <w:pPr>
              <w:rPr>
                <w:rFonts w:ascii="Calibri" w:hAnsi="Calibri"/>
                <w:b/>
                <w:bCs/>
                <w:color w:val="000000"/>
              </w:rPr>
            </w:pPr>
            <w:r>
              <w:rPr>
                <w:rFonts w:ascii="Calibri" w:hAnsi="Calibri"/>
                <w:b/>
                <w:bCs/>
                <w:color w:val="000000"/>
              </w:rPr>
              <w:t>Division of Health Care Financing and Policy</w:t>
            </w:r>
          </w:p>
          <w:p w:rsidR="00705A72" w:rsidRPr="00705A72" w:rsidRDefault="00705A72" w:rsidP="00705A72"/>
        </w:tc>
        <w:tc>
          <w:tcPr>
            <w:tcW w:w="5508" w:type="dxa"/>
            <w:tcBorders>
              <w:top w:val="nil"/>
              <w:left w:val="nil"/>
              <w:bottom w:val="nil"/>
              <w:right w:val="nil"/>
            </w:tcBorders>
          </w:tcPr>
          <w:p w:rsidR="00084297" w:rsidRDefault="00084297" w:rsidP="00084297">
            <w:pPr>
              <w:rPr>
                <w:rFonts w:ascii="Calibri" w:hAnsi="Calibri"/>
                <w:color w:val="0000FF"/>
                <w:u w:val="single"/>
              </w:rPr>
            </w:pPr>
            <w:r>
              <w:rPr>
                <w:rFonts w:ascii="Calibri" w:hAnsi="Calibri"/>
                <w:color w:val="0000FF"/>
                <w:u w:val="single"/>
              </w:rPr>
              <w:t>http://dhcfp.nv.gov/</w:t>
            </w:r>
          </w:p>
          <w:p w:rsidR="00705A72" w:rsidRPr="00705A72" w:rsidRDefault="00705A72" w:rsidP="00705A72"/>
        </w:tc>
      </w:tr>
      <w:tr w:rsidR="00705A72" w:rsidTr="007472A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5508" w:type="dxa"/>
            <w:tcBorders>
              <w:top w:val="nil"/>
              <w:left w:val="nil"/>
              <w:bottom w:val="nil"/>
              <w:right w:val="nil"/>
            </w:tcBorders>
          </w:tcPr>
          <w:p w:rsidR="00705A72" w:rsidRPr="00084297" w:rsidRDefault="00084297" w:rsidP="00705A72">
            <w:pPr>
              <w:rPr>
                <w:rFonts w:ascii="Calibri" w:hAnsi="Calibri"/>
                <w:b/>
                <w:bCs/>
                <w:color w:val="000000"/>
              </w:rPr>
            </w:pPr>
            <w:r>
              <w:rPr>
                <w:rFonts w:ascii="Calibri" w:hAnsi="Calibri"/>
                <w:b/>
                <w:bCs/>
                <w:color w:val="000000"/>
              </w:rPr>
              <w:t>Long Term Support Services - Home Care Unit - Personal Care Services</w:t>
            </w:r>
          </w:p>
        </w:tc>
        <w:tc>
          <w:tcPr>
            <w:tcW w:w="5508" w:type="dxa"/>
            <w:tcBorders>
              <w:top w:val="nil"/>
              <w:left w:val="nil"/>
              <w:bottom w:val="nil"/>
              <w:right w:val="nil"/>
            </w:tcBorders>
          </w:tcPr>
          <w:p w:rsidR="00084297" w:rsidRDefault="00084297" w:rsidP="00084297">
            <w:pPr>
              <w:rPr>
                <w:rFonts w:ascii="Calibri" w:hAnsi="Calibri"/>
                <w:color w:val="0000FF"/>
                <w:u w:val="single"/>
              </w:rPr>
            </w:pPr>
            <w:r>
              <w:rPr>
                <w:rFonts w:ascii="Calibri" w:hAnsi="Calibri"/>
                <w:color w:val="0000FF"/>
                <w:u w:val="single"/>
              </w:rPr>
              <w:t>http://dhcfp.nv.gov/Pgms/LTSS/LTSSPCS/</w:t>
            </w:r>
          </w:p>
          <w:p w:rsidR="00705A72" w:rsidRPr="00705A72" w:rsidRDefault="00705A72" w:rsidP="00084297">
            <w:pPr>
              <w:tabs>
                <w:tab w:val="left" w:pos="1035"/>
              </w:tabs>
            </w:pPr>
          </w:p>
        </w:tc>
      </w:tr>
    </w:tbl>
    <w:p w:rsidR="00705A72" w:rsidRDefault="00705A72" w:rsidP="00B24390">
      <w:pPr>
        <w:spacing w:after="0" w:line="240" w:lineRule="auto"/>
        <w:jc w:val="right"/>
      </w:pPr>
    </w:p>
    <w:p w:rsidR="00B24390" w:rsidRPr="00B24390" w:rsidRDefault="00B24390" w:rsidP="00B24390">
      <w:pPr>
        <w:spacing w:after="0" w:line="240" w:lineRule="auto"/>
        <w:jc w:val="right"/>
        <w:rPr>
          <w:rFonts w:ascii="Calibri" w:hAnsi="Calibri"/>
          <w:i/>
          <w:sz w:val="18"/>
        </w:rPr>
      </w:pPr>
      <w:r w:rsidRPr="00B24390">
        <w:rPr>
          <w:rFonts w:ascii="Calibri" w:hAnsi="Calibri"/>
          <w:i/>
          <w:sz w:val="18"/>
        </w:rPr>
        <w:t xml:space="preserve">Last Updated: </w:t>
      </w:r>
      <w:r w:rsidR="00E233FA">
        <w:rPr>
          <w:rFonts w:ascii="Calibri" w:hAnsi="Calibri"/>
          <w:i/>
          <w:sz w:val="18"/>
        </w:rPr>
        <w:t>03/09/17 JO</w:t>
      </w:r>
    </w:p>
    <w:sectPr w:rsidR="00B24390" w:rsidRPr="00B24390" w:rsidSect="00F608B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2A3" w:rsidRDefault="007472A3" w:rsidP="00491008">
      <w:pPr>
        <w:spacing w:after="0" w:line="240" w:lineRule="auto"/>
      </w:pPr>
      <w:r>
        <w:separator/>
      </w:r>
    </w:p>
  </w:endnote>
  <w:endnote w:type="continuationSeparator" w:id="0">
    <w:p w:rsidR="007472A3" w:rsidRDefault="007472A3" w:rsidP="004910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77621"/>
      <w:docPartObj>
        <w:docPartGallery w:val="Page Numbers (Bottom of Page)"/>
        <w:docPartUnique/>
      </w:docPartObj>
    </w:sdtPr>
    <w:sdtContent>
      <w:p w:rsidR="007472A3" w:rsidRDefault="000C670F">
        <w:pPr>
          <w:pStyle w:val="Footer"/>
          <w:jc w:val="center"/>
        </w:pPr>
        <w:fldSimple w:instr=" PAGE   \* MERGEFORMAT ">
          <w:r w:rsidR="005656B7">
            <w:rPr>
              <w:noProof/>
            </w:rPr>
            <w:t>1</w:t>
          </w:r>
        </w:fldSimple>
      </w:p>
    </w:sdtContent>
  </w:sdt>
  <w:p w:rsidR="007472A3" w:rsidRDefault="007472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2A3" w:rsidRDefault="007472A3" w:rsidP="00491008">
      <w:pPr>
        <w:spacing w:after="0" w:line="240" w:lineRule="auto"/>
      </w:pPr>
      <w:r>
        <w:separator/>
      </w:r>
    </w:p>
  </w:footnote>
  <w:footnote w:type="continuationSeparator" w:id="0">
    <w:p w:rsidR="007472A3" w:rsidRDefault="007472A3" w:rsidP="004910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A3" w:rsidRPr="009756AF" w:rsidRDefault="007472A3" w:rsidP="00CB5C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6E41"/>
    <w:multiLevelType w:val="hybridMultilevel"/>
    <w:tmpl w:val="18CA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F4BEF"/>
    <w:multiLevelType w:val="hybridMultilevel"/>
    <w:tmpl w:val="B96A9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316D8D"/>
    <w:multiLevelType w:val="hybridMultilevel"/>
    <w:tmpl w:val="370E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
    <w:nsid w:val="14DF52A4"/>
    <w:multiLevelType w:val="hybridMultilevel"/>
    <w:tmpl w:val="1EFC1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B09B2"/>
    <w:multiLevelType w:val="hybridMultilevel"/>
    <w:tmpl w:val="2ABC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E5144"/>
    <w:multiLevelType w:val="hybridMultilevel"/>
    <w:tmpl w:val="A3B01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9973547"/>
    <w:multiLevelType w:val="hybridMultilevel"/>
    <w:tmpl w:val="69E6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06BF8"/>
    <w:multiLevelType w:val="hybridMultilevel"/>
    <w:tmpl w:val="9D345A7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2EAE7454"/>
    <w:multiLevelType w:val="hybridMultilevel"/>
    <w:tmpl w:val="18A4954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cs="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9">
    <w:nsid w:val="323679C4"/>
    <w:multiLevelType w:val="hybridMultilevel"/>
    <w:tmpl w:val="C844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F040F1"/>
    <w:multiLevelType w:val="hybridMultilevel"/>
    <w:tmpl w:val="3E7C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544F1F"/>
    <w:multiLevelType w:val="hybridMultilevel"/>
    <w:tmpl w:val="1ED42A7E"/>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2">
    <w:nsid w:val="476F24AE"/>
    <w:multiLevelType w:val="hybridMultilevel"/>
    <w:tmpl w:val="0AE8E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B22B4A"/>
    <w:multiLevelType w:val="hybridMultilevel"/>
    <w:tmpl w:val="2656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8322ED1"/>
    <w:multiLevelType w:val="hybridMultilevel"/>
    <w:tmpl w:val="6E9CE05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0A26C08"/>
    <w:multiLevelType w:val="hybridMultilevel"/>
    <w:tmpl w:val="73923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CC500CD"/>
    <w:multiLevelType w:val="hybridMultilevel"/>
    <w:tmpl w:val="C224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970CF0"/>
    <w:multiLevelType w:val="hybridMultilevel"/>
    <w:tmpl w:val="63621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644719"/>
    <w:multiLevelType w:val="hybridMultilevel"/>
    <w:tmpl w:val="872E8A5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9">
    <w:nsid w:val="78E83049"/>
    <w:multiLevelType w:val="hybridMultilevel"/>
    <w:tmpl w:val="1AF8FC08"/>
    <w:lvl w:ilvl="0" w:tplc="D81C604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A236A5"/>
    <w:multiLevelType w:val="hybridMultilevel"/>
    <w:tmpl w:val="014A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4"/>
  </w:num>
  <w:num w:numId="4">
    <w:abstractNumId w:val="19"/>
  </w:num>
  <w:num w:numId="5">
    <w:abstractNumId w:val="10"/>
  </w:num>
  <w:num w:numId="6">
    <w:abstractNumId w:val="9"/>
  </w:num>
  <w:num w:numId="7">
    <w:abstractNumId w:val="0"/>
  </w:num>
  <w:num w:numId="8">
    <w:abstractNumId w:val="17"/>
  </w:num>
  <w:num w:numId="9">
    <w:abstractNumId w:val="2"/>
  </w:num>
  <w:num w:numId="10">
    <w:abstractNumId w:val="8"/>
  </w:num>
  <w:num w:numId="11">
    <w:abstractNumId w:val="7"/>
  </w:num>
  <w:num w:numId="12">
    <w:abstractNumId w:val="18"/>
  </w:num>
  <w:num w:numId="13">
    <w:abstractNumId w:val="14"/>
  </w:num>
  <w:num w:numId="14">
    <w:abstractNumId w:val="1"/>
  </w:num>
  <w:num w:numId="15">
    <w:abstractNumId w:val="6"/>
  </w:num>
  <w:num w:numId="16">
    <w:abstractNumId w:val="11"/>
  </w:num>
  <w:num w:numId="17">
    <w:abstractNumId w:val="15"/>
  </w:num>
  <w:num w:numId="18">
    <w:abstractNumId w:val="13"/>
  </w:num>
  <w:num w:numId="19">
    <w:abstractNumId w:val="12"/>
  </w:num>
  <w:num w:numId="20">
    <w:abstractNumId w:val="3"/>
  </w:num>
  <w:num w:numId="2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tGT5rPZpwI6KfcEwCPyobsgo4h4=" w:salt="gzgwd2H5/a2JivGwnFQBtg=="/>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205D5"/>
    <w:rsid w:val="00012D29"/>
    <w:rsid w:val="00013296"/>
    <w:rsid w:val="00040A14"/>
    <w:rsid w:val="0006393B"/>
    <w:rsid w:val="00084297"/>
    <w:rsid w:val="00086D98"/>
    <w:rsid w:val="0009537E"/>
    <w:rsid w:val="000C3054"/>
    <w:rsid w:val="000C5CDD"/>
    <w:rsid w:val="000C670F"/>
    <w:rsid w:val="000D7C0A"/>
    <w:rsid w:val="0010089B"/>
    <w:rsid w:val="001057A1"/>
    <w:rsid w:val="00112D02"/>
    <w:rsid w:val="00130CE7"/>
    <w:rsid w:val="001778E6"/>
    <w:rsid w:val="00177FA4"/>
    <w:rsid w:val="001D370B"/>
    <w:rsid w:val="002402C5"/>
    <w:rsid w:val="00243988"/>
    <w:rsid w:val="00265ADC"/>
    <w:rsid w:val="002B30CD"/>
    <w:rsid w:val="002B7979"/>
    <w:rsid w:val="003C12D8"/>
    <w:rsid w:val="003C1E10"/>
    <w:rsid w:val="003E10C6"/>
    <w:rsid w:val="003E51AC"/>
    <w:rsid w:val="003F5596"/>
    <w:rsid w:val="004011E7"/>
    <w:rsid w:val="00403074"/>
    <w:rsid w:val="00403C2C"/>
    <w:rsid w:val="00417E5D"/>
    <w:rsid w:val="00421381"/>
    <w:rsid w:val="004616F7"/>
    <w:rsid w:val="00473381"/>
    <w:rsid w:val="00487A47"/>
    <w:rsid w:val="00491008"/>
    <w:rsid w:val="00492759"/>
    <w:rsid w:val="004D6FFC"/>
    <w:rsid w:val="004F5BD7"/>
    <w:rsid w:val="005059A2"/>
    <w:rsid w:val="005156E4"/>
    <w:rsid w:val="00536EB5"/>
    <w:rsid w:val="00560C4B"/>
    <w:rsid w:val="005656B7"/>
    <w:rsid w:val="0057109B"/>
    <w:rsid w:val="00575E88"/>
    <w:rsid w:val="005840B1"/>
    <w:rsid w:val="005F4F09"/>
    <w:rsid w:val="00642712"/>
    <w:rsid w:val="00697D95"/>
    <w:rsid w:val="006B08FA"/>
    <w:rsid w:val="00702CBC"/>
    <w:rsid w:val="00702D68"/>
    <w:rsid w:val="00702E98"/>
    <w:rsid w:val="00705A72"/>
    <w:rsid w:val="007102AB"/>
    <w:rsid w:val="007251D6"/>
    <w:rsid w:val="007472A3"/>
    <w:rsid w:val="007A221F"/>
    <w:rsid w:val="007A4A2F"/>
    <w:rsid w:val="007B23F1"/>
    <w:rsid w:val="00833F43"/>
    <w:rsid w:val="00840A5E"/>
    <w:rsid w:val="00893F8D"/>
    <w:rsid w:val="008B1D6A"/>
    <w:rsid w:val="008B1E41"/>
    <w:rsid w:val="008D0F37"/>
    <w:rsid w:val="008E16E0"/>
    <w:rsid w:val="008F3064"/>
    <w:rsid w:val="00910FFE"/>
    <w:rsid w:val="0091597E"/>
    <w:rsid w:val="009609D2"/>
    <w:rsid w:val="00977623"/>
    <w:rsid w:val="009838F4"/>
    <w:rsid w:val="00984AAB"/>
    <w:rsid w:val="009A0555"/>
    <w:rsid w:val="009A3E3C"/>
    <w:rsid w:val="009C5C4A"/>
    <w:rsid w:val="009C6F38"/>
    <w:rsid w:val="009E69C1"/>
    <w:rsid w:val="00A205D5"/>
    <w:rsid w:val="00A32C1B"/>
    <w:rsid w:val="00A731B8"/>
    <w:rsid w:val="00A815D1"/>
    <w:rsid w:val="00A87C27"/>
    <w:rsid w:val="00AA4CE4"/>
    <w:rsid w:val="00AD22A7"/>
    <w:rsid w:val="00AE56EC"/>
    <w:rsid w:val="00AE64C4"/>
    <w:rsid w:val="00AF0747"/>
    <w:rsid w:val="00B173C3"/>
    <w:rsid w:val="00B24390"/>
    <w:rsid w:val="00B90BB0"/>
    <w:rsid w:val="00BA1EA7"/>
    <w:rsid w:val="00BC2869"/>
    <w:rsid w:val="00BC3EDD"/>
    <w:rsid w:val="00BD1A37"/>
    <w:rsid w:val="00BE2372"/>
    <w:rsid w:val="00C139F7"/>
    <w:rsid w:val="00C235B2"/>
    <w:rsid w:val="00C578C7"/>
    <w:rsid w:val="00C734BD"/>
    <w:rsid w:val="00C80681"/>
    <w:rsid w:val="00CB5C0C"/>
    <w:rsid w:val="00D23BEF"/>
    <w:rsid w:val="00D240E1"/>
    <w:rsid w:val="00D57DBB"/>
    <w:rsid w:val="00D725A6"/>
    <w:rsid w:val="00E233FA"/>
    <w:rsid w:val="00E26BF4"/>
    <w:rsid w:val="00E30249"/>
    <w:rsid w:val="00E30F2F"/>
    <w:rsid w:val="00E7306E"/>
    <w:rsid w:val="00F01D56"/>
    <w:rsid w:val="00F12BAB"/>
    <w:rsid w:val="00F262AF"/>
    <w:rsid w:val="00F300D7"/>
    <w:rsid w:val="00F608B8"/>
    <w:rsid w:val="00F66571"/>
    <w:rsid w:val="00F721A9"/>
    <w:rsid w:val="00F947C7"/>
    <w:rsid w:val="00FC67EF"/>
    <w:rsid w:val="00FE46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9C1"/>
  </w:style>
  <w:style w:type="paragraph" w:styleId="Heading1">
    <w:name w:val="heading 1"/>
    <w:basedOn w:val="Normal"/>
    <w:next w:val="Normal"/>
    <w:link w:val="Heading1Char"/>
    <w:uiPriority w:val="9"/>
    <w:qFormat/>
    <w:rsid w:val="008F3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721A9"/>
    <w:pPr>
      <w:keepNext/>
      <w:spacing w:after="0" w:line="240" w:lineRule="auto"/>
      <w:outlineLvl w:val="1"/>
    </w:pPr>
    <w:rPr>
      <w:rFonts w:ascii="Arial" w:eastAsia="Times New Roman" w:hAnsi="Arial"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5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0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5D5"/>
    <w:rPr>
      <w:rFonts w:ascii="Tahoma" w:hAnsi="Tahoma" w:cs="Tahoma"/>
      <w:sz w:val="16"/>
      <w:szCs w:val="16"/>
    </w:rPr>
  </w:style>
  <w:style w:type="paragraph" w:styleId="ListParagraph">
    <w:name w:val="List Paragraph"/>
    <w:basedOn w:val="Normal"/>
    <w:uiPriority w:val="34"/>
    <w:qFormat/>
    <w:rsid w:val="00130CE7"/>
    <w:pPr>
      <w:spacing w:after="0" w:line="240" w:lineRule="auto"/>
      <w:ind w:left="720"/>
      <w:contextualSpacing/>
    </w:pPr>
    <w:rPr>
      <w:rFonts w:ascii="Arial" w:eastAsia="Times New Roman" w:hAnsi="Arial" w:cs="Times New Roman"/>
      <w:sz w:val="24"/>
      <w:szCs w:val="20"/>
    </w:rPr>
  </w:style>
  <w:style w:type="character" w:styleId="Hyperlink">
    <w:name w:val="Hyperlink"/>
    <w:unhideWhenUsed/>
    <w:rsid w:val="007A221F"/>
    <w:rPr>
      <w:color w:val="0000FF"/>
      <w:u w:val="single"/>
    </w:rPr>
  </w:style>
  <w:style w:type="character" w:customStyle="1" w:styleId="leadline">
    <w:name w:val="leadline"/>
    <w:rsid w:val="007A221F"/>
    <w:rPr>
      <w:rFonts w:ascii="Times New Roman" w:hAnsi="Times New Roman" w:cs="Times New Roman" w:hint="default"/>
      <w:b/>
      <w:bCs/>
      <w:color w:val="auto"/>
    </w:rPr>
  </w:style>
  <w:style w:type="character" w:customStyle="1" w:styleId="empty">
    <w:name w:val="empty"/>
    <w:rsid w:val="007A221F"/>
    <w:rPr>
      <w:rFonts w:ascii="Times New Roman" w:hAnsi="Times New Roman" w:cs="Times New Roman" w:hint="default"/>
      <w:b/>
      <w:bCs/>
      <w:color w:val="auto"/>
    </w:rPr>
  </w:style>
  <w:style w:type="character" w:customStyle="1" w:styleId="section">
    <w:name w:val="section"/>
    <w:rsid w:val="007A221F"/>
    <w:rPr>
      <w:rFonts w:ascii="Times New Roman" w:hAnsi="Times New Roman" w:cs="Times New Roman" w:hint="default"/>
      <w:b/>
      <w:bCs/>
      <w:color w:val="auto"/>
    </w:rPr>
  </w:style>
  <w:style w:type="character" w:customStyle="1" w:styleId="Heading2Char">
    <w:name w:val="Heading 2 Char"/>
    <w:basedOn w:val="DefaultParagraphFont"/>
    <w:link w:val="Heading2"/>
    <w:rsid w:val="00F721A9"/>
    <w:rPr>
      <w:rFonts w:ascii="Arial" w:eastAsia="Times New Roman" w:hAnsi="Arial" w:cs="Times New Roman"/>
      <w:b/>
      <w:bCs/>
      <w:sz w:val="24"/>
      <w:szCs w:val="20"/>
    </w:rPr>
  </w:style>
  <w:style w:type="paragraph" w:styleId="NormalWeb">
    <w:name w:val="Normal (Web)"/>
    <w:basedOn w:val="Normal"/>
    <w:uiPriority w:val="99"/>
    <w:semiHidden/>
    <w:unhideWhenUsed/>
    <w:rsid w:val="00F721A9"/>
    <w:pPr>
      <w:spacing w:before="100" w:beforeAutospacing="1" w:after="100" w:afterAutospacing="1" w:line="312" w:lineRule="auto"/>
    </w:pPr>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8F306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57DBB"/>
    <w:pPr>
      <w:spacing w:after="0" w:line="240" w:lineRule="auto"/>
    </w:pPr>
  </w:style>
  <w:style w:type="character" w:styleId="FollowedHyperlink">
    <w:name w:val="FollowedHyperlink"/>
    <w:basedOn w:val="DefaultParagraphFont"/>
    <w:uiPriority w:val="99"/>
    <w:semiHidden/>
    <w:unhideWhenUsed/>
    <w:rsid w:val="002B7979"/>
    <w:rPr>
      <w:color w:val="800080" w:themeColor="followedHyperlink"/>
      <w:u w:val="single"/>
    </w:rPr>
  </w:style>
  <w:style w:type="character" w:styleId="CommentReference">
    <w:name w:val="annotation reference"/>
    <w:basedOn w:val="DefaultParagraphFont"/>
    <w:uiPriority w:val="99"/>
    <w:semiHidden/>
    <w:unhideWhenUsed/>
    <w:rsid w:val="008B1D6A"/>
    <w:rPr>
      <w:sz w:val="16"/>
      <w:szCs w:val="16"/>
    </w:rPr>
  </w:style>
  <w:style w:type="paragraph" w:styleId="CommentText">
    <w:name w:val="annotation text"/>
    <w:basedOn w:val="Normal"/>
    <w:link w:val="CommentTextChar"/>
    <w:uiPriority w:val="99"/>
    <w:semiHidden/>
    <w:unhideWhenUsed/>
    <w:rsid w:val="008B1D6A"/>
    <w:pPr>
      <w:spacing w:line="240" w:lineRule="auto"/>
    </w:pPr>
    <w:rPr>
      <w:sz w:val="20"/>
      <w:szCs w:val="20"/>
    </w:rPr>
  </w:style>
  <w:style w:type="character" w:customStyle="1" w:styleId="CommentTextChar">
    <w:name w:val="Comment Text Char"/>
    <w:basedOn w:val="DefaultParagraphFont"/>
    <w:link w:val="CommentText"/>
    <w:uiPriority w:val="99"/>
    <w:semiHidden/>
    <w:rsid w:val="008B1D6A"/>
    <w:rPr>
      <w:sz w:val="20"/>
      <w:szCs w:val="20"/>
    </w:rPr>
  </w:style>
  <w:style w:type="paragraph" w:styleId="CommentSubject">
    <w:name w:val="annotation subject"/>
    <w:basedOn w:val="CommentText"/>
    <w:next w:val="CommentText"/>
    <w:link w:val="CommentSubjectChar"/>
    <w:uiPriority w:val="99"/>
    <w:semiHidden/>
    <w:unhideWhenUsed/>
    <w:rsid w:val="008B1D6A"/>
    <w:rPr>
      <w:b/>
      <w:bCs/>
    </w:rPr>
  </w:style>
  <w:style w:type="character" w:customStyle="1" w:styleId="CommentSubjectChar">
    <w:name w:val="Comment Subject Char"/>
    <w:basedOn w:val="CommentTextChar"/>
    <w:link w:val="CommentSubject"/>
    <w:uiPriority w:val="99"/>
    <w:semiHidden/>
    <w:rsid w:val="008B1D6A"/>
    <w:rPr>
      <w:b/>
      <w:bCs/>
    </w:rPr>
  </w:style>
  <w:style w:type="paragraph" w:styleId="Header">
    <w:name w:val="header"/>
    <w:basedOn w:val="Normal"/>
    <w:link w:val="HeaderChar"/>
    <w:uiPriority w:val="99"/>
    <w:unhideWhenUsed/>
    <w:rsid w:val="00F608B8"/>
    <w:pPr>
      <w:tabs>
        <w:tab w:val="center" w:pos="4680"/>
        <w:tab w:val="right" w:pos="9360"/>
      </w:tabs>
      <w:spacing w:after="0" w:line="240" w:lineRule="auto"/>
      <w:ind w:firstLine="360"/>
    </w:pPr>
    <w:rPr>
      <w:rFonts w:eastAsiaTheme="minorEastAsia"/>
      <w:lang w:bidi="en-US"/>
    </w:rPr>
  </w:style>
  <w:style w:type="character" w:customStyle="1" w:styleId="HeaderChar">
    <w:name w:val="Header Char"/>
    <w:basedOn w:val="DefaultParagraphFont"/>
    <w:link w:val="Header"/>
    <w:uiPriority w:val="99"/>
    <w:rsid w:val="00F608B8"/>
    <w:rPr>
      <w:rFonts w:eastAsiaTheme="minorEastAsia"/>
      <w:lang w:bidi="en-US"/>
    </w:rPr>
  </w:style>
  <w:style w:type="paragraph" w:styleId="Footer">
    <w:name w:val="footer"/>
    <w:basedOn w:val="Normal"/>
    <w:link w:val="FooterChar"/>
    <w:uiPriority w:val="99"/>
    <w:unhideWhenUsed/>
    <w:rsid w:val="00F608B8"/>
    <w:pPr>
      <w:pBdr>
        <w:top w:val="single" w:sz="4" w:space="6" w:color="95B3D7" w:themeColor="accent1" w:themeTint="99"/>
        <w:left w:val="single" w:sz="2" w:space="4" w:color="FFFFFF" w:themeColor="background1"/>
      </w:pBdr>
      <w:spacing w:after="0" w:line="240" w:lineRule="auto"/>
      <w:ind w:left="-360" w:right="-360" w:firstLine="360"/>
    </w:pPr>
    <w:rPr>
      <w:rFonts w:eastAsiaTheme="minorEastAsia"/>
      <w:lang w:bidi="en-US"/>
    </w:rPr>
  </w:style>
  <w:style w:type="character" w:customStyle="1" w:styleId="FooterChar">
    <w:name w:val="Footer Char"/>
    <w:basedOn w:val="DefaultParagraphFont"/>
    <w:link w:val="Footer"/>
    <w:uiPriority w:val="99"/>
    <w:rsid w:val="00F608B8"/>
    <w:rPr>
      <w:rFonts w:eastAsiaTheme="minorEastAsia"/>
      <w:lang w:bidi="en-US"/>
    </w:rPr>
  </w:style>
</w:styles>
</file>

<file path=word/webSettings.xml><?xml version="1.0" encoding="utf-8"?>
<w:webSettings xmlns:r="http://schemas.openxmlformats.org/officeDocument/2006/relationships" xmlns:w="http://schemas.openxmlformats.org/wordprocessingml/2006/main">
  <w:divs>
    <w:div w:id="77095621">
      <w:bodyDiv w:val="1"/>
      <w:marLeft w:val="0"/>
      <w:marRight w:val="0"/>
      <w:marTop w:val="0"/>
      <w:marBottom w:val="0"/>
      <w:divBdr>
        <w:top w:val="none" w:sz="0" w:space="0" w:color="auto"/>
        <w:left w:val="none" w:sz="0" w:space="0" w:color="auto"/>
        <w:bottom w:val="none" w:sz="0" w:space="0" w:color="auto"/>
        <w:right w:val="none" w:sz="0" w:space="0" w:color="auto"/>
      </w:divBdr>
    </w:div>
    <w:div w:id="112409796">
      <w:bodyDiv w:val="1"/>
      <w:marLeft w:val="0"/>
      <w:marRight w:val="0"/>
      <w:marTop w:val="0"/>
      <w:marBottom w:val="0"/>
      <w:divBdr>
        <w:top w:val="none" w:sz="0" w:space="0" w:color="auto"/>
        <w:left w:val="none" w:sz="0" w:space="0" w:color="auto"/>
        <w:bottom w:val="none" w:sz="0" w:space="0" w:color="auto"/>
        <w:right w:val="none" w:sz="0" w:space="0" w:color="auto"/>
      </w:divBdr>
    </w:div>
    <w:div w:id="123620974">
      <w:bodyDiv w:val="1"/>
      <w:marLeft w:val="0"/>
      <w:marRight w:val="0"/>
      <w:marTop w:val="0"/>
      <w:marBottom w:val="0"/>
      <w:divBdr>
        <w:top w:val="none" w:sz="0" w:space="0" w:color="auto"/>
        <w:left w:val="none" w:sz="0" w:space="0" w:color="auto"/>
        <w:bottom w:val="none" w:sz="0" w:space="0" w:color="auto"/>
        <w:right w:val="none" w:sz="0" w:space="0" w:color="auto"/>
      </w:divBdr>
    </w:div>
    <w:div w:id="151289617">
      <w:bodyDiv w:val="1"/>
      <w:marLeft w:val="0"/>
      <w:marRight w:val="0"/>
      <w:marTop w:val="0"/>
      <w:marBottom w:val="0"/>
      <w:divBdr>
        <w:top w:val="none" w:sz="0" w:space="0" w:color="auto"/>
        <w:left w:val="none" w:sz="0" w:space="0" w:color="auto"/>
        <w:bottom w:val="none" w:sz="0" w:space="0" w:color="auto"/>
        <w:right w:val="none" w:sz="0" w:space="0" w:color="auto"/>
      </w:divBdr>
    </w:div>
    <w:div w:id="265702035">
      <w:bodyDiv w:val="1"/>
      <w:marLeft w:val="0"/>
      <w:marRight w:val="0"/>
      <w:marTop w:val="0"/>
      <w:marBottom w:val="0"/>
      <w:divBdr>
        <w:top w:val="none" w:sz="0" w:space="0" w:color="auto"/>
        <w:left w:val="none" w:sz="0" w:space="0" w:color="auto"/>
        <w:bottom w:val="none" w:sz="0" w:space="0" w:color="auto"/>
        <w:right w:val="none" w:sz="0" w:space="0" w:color="auto"/>
      </w:divBdr>
    </w:div>
    <w:div w:id="309286217">
      <w:bodyDiv w:val="1"/>
      <w:marLeft w:val="0"/>
      <w:marRight w:val="0"/>
      <w:marTop w:val="0"/>
      <w:marBottom w:val="0"/>
      <w:divBdr>
        <w:top w:val="none" w:sz="0" w:space="0" w:color="auto"/>
        <w:left w:val="none" w:sz="0" w:space="0" w:color="auto"/>
        <w:bottom w:val="none" w:sz="0" w:space="0" w:color="auto"/>
        <w:right w:val="none" w:sz="0" w:space="0" w:color="auto"/>
      </w:divBdr>
    </w:div>
    <w:div w:id="313415164">
      <w:bodyDiv w:val="1"/>
      <w:marLeft w:val="0"/>
      <w:marRight w:val="0"/>
      <w:marTop w:val="0"/>
      <w:marBottom w:val="0"/>
      <w:divBdr>
        <w:top w:val="none" w:sz="0" w:space="0" w:color="auto"/>
        <w:left w:val="none" w:sz="0" w:space="0" w:color="auto"/>
        <w:bottom w:val="none" w:sz="0" w:space="0" w:color="auto"/>
        <w:right w:val="none" w:sz="0" w:space="0" w:color="auto"/>
      </w:divBdr>
    </w:div>
    <w:div w:id="321737141">
      <w:bodyDiv w:val="1"/>
      <w:marLeft w:val="0"/>
      <w:marRight w:val="0"/>
      <w:marTop w:val="0"/>
      <w:marBottom w:val="0"/>
      <w:divBdr>
        <w:top w:val="none" w:sz="0" w:space="0" w:color="auto"/>
        <w:left w:val="none" w:sz="0" w:space="0" w:color="auto"/>
        <w:bottom w:val="none" w:sz="0" w:space="0" w:color="auto"/>
        <w:right w:val="none" w:sz="0" w:space="0" w:color="auto"/>
      </w:divBdr>
    </w:div>
    <w:div w:id="325279529">
      <w:bodyDiv w:val="1"/>
      <w:marLeft w:val="0"/>
      <w:marRight w:val="0"/>
      <w:marTop w:val="0"/>
      <w:marBottom w:val="0"/>
      <w:divBdr>
        <w:top w:val="none" w:sz="0" w:space="0" w:color="auto"/>
        <w:left w:val="none" w:sz="0" w:space="0" w:color="auto"/>
        <w:bottom w:val="none" w:sz="0" w:space="0" w:color="auto"/>
        <w:right w:val="none" w:sz="0" w:space="0" w:color="auto"/>
      </w:divBdr>
    </w:div>
    <w:div w:id="348414713">
      <w:bodyDiv w:val="1"/>
      <w:marLeft w:val="0"/>
      <w:marRight w:val="0"/>
      <w:marTop w:val="0"/>
      <w:marBottom w:val="0"/>
      <w:divBdr>
        <w:top w:val="none" w:sz="0" w:space="0" w:color="auto"/>
        <w:left w:val="none" w:sz="0" w:space="0" w:color="auto"/>
        <w:bottom w:val="none" w:sz="0" w:space="0" w:color="auto"/>
        <w:right w:val="none" w:sz="0" w:space="0" w:color="auto"/>
      </w:divBdr>
    </w:div>
    <w:div w:id="431633624">
      <w:bodyDiv w:val="1"/>
      <w:marLeft w:val="0"/>
      <w:marRight w:val="0"/>
      <w:marTop w:val="0"/>
      <w:marBottom w:val="0"/>
      <w:divBdr>
        <w:top w:val="none" w:sz="0" w:space="0" w:color="auto"/>
        <w:left w:val="none" w:sz="0" w:space="0" w:color="auto"/>
        <w:bottom w:val="none" w:sz="0" w:space="0" w:color="auto"/>
        <w:right w:val="none" w:sz="0" w:space="0" w:color="auto"/>
      </w:divBdr>
    </w:div>
    <w:div w:id="460419919">
      <w:bodyDiv w:val="1"/>
      <w:marLeft w:val="0"/>
      <w:marRight w:val="0"/>
      <w:marTop w:val="0"/>
      <w:marBottom w:val="0"/>
      <w:divBdr>
        <w:top w:val="none" w:sz="0" w:space="0" w:color="auto"/>
        <w:left w:val="none" w:sz="0" w:space="0" w:color="auto"/>
        <w:bottom w:val="none" w:sz="0" w:space="0" w:color="auto"/>
        <w:right w:val="none" w:sz="0" w:space="0" w:color="auto"/>
      </w:divBdr>
    </w:div>
    <w:div w:id="460809346">
      <w:bodyDiv w:val="1"/>
      <w:marLeft w:val="0"/>
      <w:marRight w:val="0"/>
      <w:marTop w:val="0"/>
      <w:marBottom w:val="0"/>
      <w:divBdr>
        <w:top w:val="none" w:sz="0" w:space="0" w:color="auto"/>
        <w:left w:val="none" w:sz="0" w:space="0" w:color="auto"/>
        <w:bottom w:val="none" w:sz="0" w:space="0" w:color="auto"/>
        <w:right w:val="none" w:sz="0" w:space="0" w:color="auto"/>
      </w:divBdr>
    </w:div>
    <w:div w:id="619846984">
      <w:bodyDiv w:val="1"/>
      <w:marLeft w:val="0"/>
      <w:marRight w:val="0"/>
      <w:marTop w:val="0"/>
      <w:marBottom w:val="0"/>
      <w:divBdr>
        <w:top w:val="none" w:sz="0" w:space="0" w:color="auto"/>
        <w:left w:val="none" w:sz="0" w:space="0" w:color="auto"/>
        <w:bottom w:val="none" w:sz="0" w:space="0" w:color="auto"/>
        <w:right w:val="none" w:sz="0" w:space="0" w:color="auto"/>
      </w:divBdr>
    </w:div>
    <w:div w:id="739331143">
      <w:bodyDiv w:val="1"/>
      <w:marLeft w:val="0"/>
      <w:marRight w:val="0"/>
      <w:marTop w:val="0"/>
      <w:marBottom w:val="0"/>
      <w:divBdr>
        <w:top w:val="none" w:sz="0" w:space="0" w:color="auto"/>
        <w:left w:val="none" w:sz="0" w:space="0" w:color="auto"/>
        <w:bottom w:val="none" w:sz="0" w:space="0" w:color="auto"/>
        <w:right w:val="none" w:sz="0" w:space="0" w:color="auto"/>
      </w:divBdr>
    </w:div>
    <w:div w:id="774132193">
      <w:bodyDiv w:val="1"/>
      <w:marLeft w:val="0"/>
      <w:marRight w:val="0"/>
      <w:marTop w:val="0"/>
      <w:marBottom w:val="0"/>
      <w:divBdr>
        <w:top w:val="none" w:sz="0" w:space="0" w:color="auto"/>
        <w:left w:val="none" w:sz="0" w:space="0" w:color="auto"/>
        <w:bottom w:val="none" w:sz="0" w:space="0" w:color="auto"/>
        <w:right w:val="none" w:sz="0" w:space="0" w:color="auto"/>
      </w:divBdr>
    </w:div>
    <w:div w:id="809713498">
      <w:bodyDiv w:val="1"/>
      <w:marLeft w:val="0"/>
      <w:marRight w:val="0"/>
      <w:marTop w:val="0"/>
      <w:marBottom w:val="0"/>
      <w:divBdr>
        <w:top w:val="none" w:sz="0" w:space="0" w:color="auto"/>
        <w:left w:val="none" w:sz="0" w:space="0" w:color="auto"/>
        <w:bottom w:val="none" w:sz="0" w:space="0" w:color="auto"/>
        <w:right w:val="none" w:sz="0" w:space="0" w:color="auto"/>
      </w:divBdr>
    </w:div>
    <w:div w:id="957029460">
      <w:bodyDiv w:val="1"/>
      <w:marLeft w:val="0"/>
      <w:marRight w:val="0"/>
      <w:marTop w:val="0"/>
      <w:marBottom w:val="0"/>
      <w:divBdr>
        <w:top w:val="none" w:sz="0" w:space="0" w:color="auto"/>
        <w:left w:val="none" w:sz="0" w:space="0" w:color="auto"/>
        <w:bottom w:val="none" w:sz="0" w:space="0" w:color="auto"/>
        <w:right w:val="none" w:sz="0" w:space="0" w:color="auto"/>
      </w:divBdr>
    </w:div>
    <w:div w:id="984116220">
      <w:bodyDiv w:val="1"/>
      <w:marLeft w:val="0"/>
      <w:marRight w:val="0"/>
      <w:marTop w:val="0"/>
      <w:marBottom w:val="0"/>
      <w:divBdr>
        <w:top w:val="none" w:sz="0" w:space="0" w:color="auto"/>
        <w:left w:val="none" w:sz="0" w:space="0" w:color="auto"/>
        <w:bottom w:val="none" w:sz="0" w:space="0" w:color="auto"/>
        <w:right w:val="none" w:sz="0" w:space="0" w:color="auto"/>
      </w:divBdr>
    </w:div>
    <w:div w:id="1088388782">
      <w:bodyDiv w:val="1"/>
      <w:marLeft w:val="0"/>
      <w:marRight w:val="0"/>
      <w:marTop w:val="0"/>
      <w:marBottom w:val="0"/>
      <w:divBdr>
        <w:top w:val="none" w:sz="0" w:space="0" w:color="auto"/>
        <w:left w:val="none" w:sz="0" w:space="0" w:color="auto"/>
        <w:bottom w:val="none" w:sz="0" w:space="0" w:color="auto"/>
        <w:right w:val="none" w:sz="0" w:space="0" w:color="auto"/>
      </w:divBdr>
    </w:div>
    <w:div w:id="1095127331">
      <w:bodyDiv w:val="1"/>
      <w:marLeft w:val="0"/>
      <w:marRight w:val="0"/>
      <w:marTop w:val="0"/>
      <w:marBottom w:val="0"/>
      <w:divBdr>
        <w:top w:val="none" w:sz="0" w:space="0" w:color="auto"/>
        <w:left w:val="none" w:sz="0" w:space="0" w:color="auto"/>
        <w:bottom w:val="none" w:sz="0" w:space="0" w:color="auto"/>
        <w:right w:val="none" w:sz="0" w:space="0" w:color="auto"/>
      </w:divBdr>
    </w:div>
    <w:div w:id="1180924771">
      <w:bodyDiv w:val="1"/>
      <w:marLeft w:val="0"/>
      <w:marRight w:val="0"/>
      <w:marTop w:val="0"/>
      <w:marBottom w:val="0"/>
      <w:divBdr>
        <w:top w:val="none" w:sz="0" w:space="0" w:color="auto"/>
        <w:left w:val="none" w:sz="0" w:space="0" w:color="auto"/>
        <w:bottom w:val="none" w:sz="0" w:space="0" w:color="auto"/>
        <w:right w:val="none" w:sz="0" w:space="0" w:color="auto"/>
      </w:divBdr>
    </w:div>
    <w:div w:id="1330065082">
      <w:bodyDiv w:val="1"/>
      <w:marLeft w:val="0"/>
      <w:marRight w:val="0"/>
      <w:marTop w:val="0"/>
      <w:marBottom w:val="0"/>
      <w:divBdr>
        <w:top w:val="none" w:sz="0" w:space="0" w:color="auto"/>
        <w:left w:val="none" w:sz="0" w:space="0" w:color="auto"/>
        <w:bottom w:val="none" w:sz="0" w:space="0" w:color="auto"/>
        <w:right w:val="none" w:sz="0" w:space="0" w:color="auto"/>
      </w:divBdr>
    </w:div>
    <w:div w:id="1432621824">
      <w:bodyDiv w:val="1"/>
      <w:marLeft w:val="0"/>
      <w:marRight w:val="0"/>
      <w:marTop w:val="0"/>
      <w:marBottom w:val="0"/>
      <w:divBdr>
        <w:top w:val="none" w:sz="0" w:space="0" w:color="auto"/>
        <w:left w:val="none" w:sz="0" w:space="0" w:color="auto"/>
        <w:bottom w:val="none" w:sz="0" w:space="0" w:color="auto"/>
        <w:right w:val="none" w:sz="0" w:space="0" w:color="auto"/>
      </w:divBdr>
    </w:div>
    <w:div w:id="1606419532">
      <w:bodyDiv w:val="1"/>
      <w:marLeft w:val="0"/>
      <w:marRight w:val="0"/>
      <w:marTop w:val="0"/>
      <w:marBottom w:val="0"/>
      <w:divBdr>
        <w:top w:val="none" w:sz="0" w:space="0" w:color="auto"/>
        <w:left w:val="none" w:sz="0" w:space="0" w:color="auto"/>
        <w:bottom w:val="none" w:sz="0" w:space="0" w:color="auto"/>
        <w:right w:val="none" w:sz="0" w:space="0" w:color="auto"/>
      </w:divBdr>
    </w:div>
    <w:div w:id="18280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hcfp.nv.gov/Pgms/LTSS/LTSSPCS/" TargetMode="External"/><Relationship Id="rId5" Type="http://schemas.openxmlformats.org/officeDocument/2006/relationships/footnotes" Target="footnotes.xml"/><Relationship Id="rId10" Type="http://schemas.openxmlformats.org/officeDocument/2006/relationships/hyperlink" Target="http://dhcfp.nv.gov/Resources/AdminSupport/Manuals/MSM/C3500/Chapter3500/"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2483</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DHCFP</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Dawley</dc:creator>
  <cp:lastModifiedBy>Jessica Mandoki</cp:lastModifiedBy>
  <cp:revision>3</cp:revision>
  <cp:lastPrinted>2016-08-11T20:41:00Z</cp:lastPrinted>
  <dcterms:created xsi:type="dcterms:W3CDTF">2017-08-25T18:21:00Z</dcterms:created>
  <dcterms:modified xsi:type="dcterms:W3CDTF">2017-08-25T18:21:00Z</dcterms:modified>
</cp:coreProperties>
</file>